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95F2F3" w14:textId="77777777" w:rsidR="0093626F" w:rsidRDefault="0093626F" w:rsidP="00D60720">
      <w:pPr>
        <w:spacing w:line="360" w:lineRule="auto"/>
        <w:jc w:val="both"/>
        <w:rPr>
          <w:rFonts w:ascii="Arial" w:hAnsi="Arial" w:cs="Arial"/>
        </w:rPr>
      </w:pPr>
    </w:p>
    <w:p w14:paraId="1EFBFA0B" w14:textId="70018D5C" w:rsidR="0093626F" w:rsidRPr="00D307DE" w:rsidRDefault="00C971EC" w:rsidP="00D60720">
      <w:pPr>
        <w:spacing w:line="360" w:lineRule="auto"/>
        <w:jc w:val="both"/>
        <w:rPr>
          <w:rFonts w:ascii="Arial" w:hAnsi="Arial" w:cs="Arial"/>
          <w:b/>
          <w:bCs/>
        </w:rPr>
      </w:pPr>
      <w:r w:rsidRPr="00D307DE">
        <w:rPr>
          <w:rFonts w:ascii="Arial" w:hAnsi="Arial" w:cs="Arial"/>
          <w:b/>
          <w:bCs/>
        </w:rPr>
        <w:t xml:space="preserve">DIP. </w:t>
      </w:r>
      <w:r w:rsidR="0093626F" w:rsidRPr="00D307DE">
        <w:rPr>
          <w:rFonts w:ascii="Arial" w:hAnsi="Arial" w:cs="Arial"/>
          <w:b/>
          <w:bCs/>
        </w:rPr>
        <w:t>GIULIANNA BUGARINI TORRES</w:t>
      </w:r>
    </w:p>
    <w:p w14:paraId="594F9F80" w14:textId="77777777" w:rsidR="0093626F" w:rsidRPr="00D307DE" w:rsidRDefault="00C971EC" w:rsidP="00D60720">
      <w:pPr>
        <w:spacing w:line="360" w:lineRule="auto"/>
        <w:jc w:val="both"/>
        <w:rPr>
          <w:rFonts w:ascii="Arial" w:hAnsi="Arial" w:cs="Arial"/>
          <w:b/>
          <w:bCs/>
        </w:rPr>
      </w:pPr>
      <w:r w:rsidRPr="00D307DE">
        <w:rPr>
          <w:rFonts w:ascii="Arial" w:hAnsi="Arial" w:cs="Arial"/>
          <w:b/>
          <w:bCs/>
        </w:rPr>
        <w:t xml:space="preserve">PRESIDENTE DE LA MESA DIRECTIVA DEL HONORABLE </w:t>
      </w:r>
    </w:p>
    <w:p w14:paraId="7638E17B" w14:textId="0C16949A" w:rsidR="0093626F" w:rsidRPr="00D307DE" w:rsidRDefault="00C971EC" w:rsidP="00D60720">
      <w:pPr>
        <w:spacing w:line="360" w:lineRule="auto"/>
        <w:jc w:val="both"/>
        <w:rPr>
          <w:rFonts w:ascii="Arial" w:hAnsi="Arial" w:cs="Arial"/>
          <w:b/>
          <w:bCs/>
        </w:rPr>
      </w:pPr>
      <w:r w:rsidRPr="00D307DE">
        <w:rPr>
          <w:rFonts w:ascii="Arial" w:hAnsi="Arial" w:cs="Arial"/>
          <w:b/>
          <w:bCs/>
        </w:rPr>
        <w:t>CONGRESO DEL ESTADO DE MICHOACÁN DE OCAMPO</w:t>
      </w:r>
    </w:p>
    <w:p w14:paraId="50AAAA17" w14:textId="77777777" w:rsidR="0093626F" w:rsidRDefault="00C971EC" w:rsidP="00D60720">
      <w:pPr>
        <w:spacing w:line="360" w:lineRule="auto"/>
        <w:jc w:val="both"/>
        <w:rPr>
          <w:rFonts w:ascii="Arial" w:hAnsi="Arial" w:cs="Arial"/>
          <w:b/>
          <w:bCs/>
        </w:rPr>
      </w:pPr>
      <w:r w:rsidRPr="00D307DE">
        <w:rPr>
          <w:rFonts w:ascii="Arial" w:hAnsi="Arial" w:cs="Arial"/>
          <w:b/>
          <w:bCs/>
        </w:rPr>
        <w:t>P R E S E N T E.</w:t>
      </w:r>
    </w:p>
    <w:p w14:paraId="76290C22" w14:textId="77777777" w:rsidR="00D307DE" w:rsidRPr="00D307DE" w:rsidRDefault="00D307DE" w:rsidP="00D60720">
      <w:pPr>
        <w:spacing w:line="360" w:lineRule="auto"/>
        <w:jc w:val="both"/>
        <w:rPr>
          <w:rFonts w:ascii="Arial" w:hAnsi="Arial" w:cs="Arial"/>
          <w:b/>
          <w:bCs/>
        </w:rPr>
      </w:pPr>
    </w:p>
    <w:p w14:paraId="13D3EBB0" w14:textId="77777777" w:rsidR="0093626F" w:rsidRDefault="00C971EC" w:rsidP="00D60720">
      <w:pPr>
        <w:spacing w:line="360" w:lineRule="auto"/>
        <w:jc w:val="both"/>
        <w:rPr>
          <w:rFonts w:ascii="Arial" w:hAnsi="Arial" w:cs="Arial"/>
        </w:rPr>
      </w:pPr>
      <w:r w:rsidRPr="00D307DE">
        <w:rPr>
          <w:rFonts w:ascii="Arial" w:hAnsi="Arial" w:cs="Arial"/>
          <w:b/>
          <w:bCs/>
        </w:rPr>
        <w:t>ALFREDO RAMÍREZ BEDOLLA</w:t>
      </w:r>
      <w:r w:rsidRPr="0093626F">
        <w:rPr>
          <w:rFonts w:ascii="Arial" w:hAnsi="Arial" w:cs="Arial"/>
        </w:rPr>
        <w:t xml:space="preserve">, Gobernador Constitucional del Estado Libre y Soberano de Michoacán de Ocampo, con fundamento en lo dispuesto por los artículos 36 fracción I, 47 y 60 fracciones V, VII, VIII y XXIII de la Constitución Política del Estado Libre y Soberano de Michoacán de Ocampo; 3 de la Ley Orgánica de la Administración Pública del Estado de Michoacán de Ocampo; y 13, 14, 15, 16 y 20 de la Ley de Planeación Hacendaria, Presupuesto, Gasto Público y Contabilidad Gubernamental del Estado de Michoacán de Ocampo, por su digno conducto, presento a la consideración de esa Honorable Legislatura la </w:t>
      </w:r>
      <w:r w:rsidRPr="00D307DE">
        <w:rPr>
          <w:rFonts w:ascii="Arial" w:hAnsi="Arial" w:cs="Arial"/>
          <w:b/>
          <w:bCs/>
        </w:rPr>
        <w:t>Iniciativa con Proyecto de Decreto que contiene el Presupuesto de Egresos del Gobierno del Estado de Michoacán de Ocampo, para el Ejercicio Fiscal 2026</w:t>
      </w:r>
      <w:r w:rsidRPr="0093626F">
        <w:rPr>
          <w:rFonts w:ascii="Arial" w:hAnsi="Arial" w:cs="Arial"/>
        </w:rPr>
        <w:t>, con base en la siguiente:</w:t>
      </w:r>
    </w:p>
    <w:p w14:paraId="5EB38B85" w14:textId="51FA8BD9" w:rsidR="00D05183" w:rsidRPr="0093626F" w:rsidRDefault="00D05183" w:rsidP="00D60720">
      <w:pPr>
        <w:spacing w:line="360" w:lineRule="auto"/>
        <w:jc w:val="both"/>
        <w:rPr>
          <w:rFonts w:ascii="Arial" w:hAnsi="Arial" w:cs="Arial"/>
        </w:rPr>
      </w:pPr>
    </w:p>
    <w:p w14:paraId="28FC4E33" w14:textId="77777777" w:rsidR="00D05183" w:rsidRPr="00D307DE" w:rsidRDefault="00C971EC" w:rsidP="00D60720">
      <w:pPr>
        <w:pStyle w:val="Ttulo2"/>
        <w:spacing w:before="0" w:line="360" w:lineRule="auto"/>
        <w:jc w:val="center"/>
        <w:rPr>
          <w:rFonts w:ascii="Arial" w:hAnsi="Arial" w:cs="Arial"/>
          <w:color w:val="000000" w:themeColor="text1"/>
          <w:sz w:val="24"/>
          <w:szCs w:val="24"/>
        </w:rPr>
      </w:pPr>
      <w:r w:rsidRPr="00D307DE">
        <w:rPr>
          <w:rFonts w:ascii="Arial" w:hAnsi="Arial" w:cs="Arial"/>
          <w:color w:val="000000" w:themeColor="text1"/>
          <w:sz w:val="24"/>
          <w:szCs w:val="24"/>
        </w:rPr>
        <w:t>EXPOSICIÓN DE MOTIVOS</w:t>
      </w:r>
    </w:p>
    <w:p w14:paraId="1E98EE7A" w14:textId="77777777" w:rsidR="0093626F" w:rsidRDefault="0093626F" w:rsidP="00D60720">
      <w:pPr>
        <w:spacing w:line="360" w:lineRule="auto"/>
        <w:jc w:val="both"/>
        <w:rPr>
          <w:rFonts w:ascii="Arial" w:hAnsi="Arial" w:cs="Arial"/>
        </w:rPr>
      </w:pPr>
    </w:p>
    <w:p w14:paraId="4837E6C9" w14:textId="49C46B24" w:rsidR="00D307DE" w:rsidRPr="00E85C8C" w:rsidRDefault="00D307DE" w:rsidP="00D60720">
      <w:pPr>
        <w:pStyle w:val="NormalWeb"/>
        <w:spacing w:before="0" w:beforeAutospacing="0" w:after="0" w:afterAutospacing="0" w:line="360" w:lineRule="auto"/>
        <w:jc w:val="both"/>
        <w:rPr>
          <w:rFonts w:ascii="Arial" w:hAnsi="Arial" w:cs="Arial"/>
        </w:rPr>
      </w:pPr>
      <w:r w:rsidRPr="00E85C8C">
        <w:rPr>
          <w:rFonts w:ascii="Arial" w:hAnsi="Arial" w:cs="Arial"/>
        </w:rPr>
        <w:t>En cumplimiento a lo señalado en el Artículo 60 fracción VIII, de la Constitución Política del Estado Libre y Soberano de Michoacán de Ocampo, una vez aprobado el Presupuesto de Egresos de la Federación para el ejercicio fiscal 202</w:t>
      </w:r>
      <w:r>
        <w:rPr>
          <w:rFonts w:ascii="Arial" w:hAnsi="Arial" w:cs="Arial"/>
        </w:rPr>
        <w:t>6</w:t>
      </w:r>
      <w:r w:rsidRPr="00E85C8C">
        <w:rPr>
          <w:rFonts w:ascii="Arial" w:hAnsi="Arial" w:cs="Arial"/>
        </w:rPr>
        <w:t xml:space="preserve">, así como en lo señalado en los artículos 5 y 6 de la Ley de Disciplina Financiera de las Entidades Federativas y los Municipios, pongo a su consideración el Proyecto de </w:t>
      </w:r>
      <w:r w:rsidRPr="00AF16A6">
        <w:rPr>
          <w:rFonts w:ascii="Arial" w:hAnsi="Arial" w:cs="Arial"/>
        </w:rPr>
        <w:t xml:space="preserve">Presupuesto de Egresos para el Ejercicio Fiscal </w:t>
      </w:r>
      <w:r w:rsidR="00E531EA" w:rsidRPr="00AF16A6">
        <w:rPr>
          <w:rFonts w:ascii="Arial" w:hAnsi="Arial" w:cs="Arial"/>
        </w:rPr>
        <w:t>202</w:t>
      </w:r>
      <w:r w:rsidR="00E531EA">
        <w:rPr>
          <w:rFonts w:ascii="Arial" w:hAnsi="Arial" w:cs="Arial"/>
        </w:rPr>
        <w:t>6</w:t>
      </w:r>
      <w:r w:rsidRPr="00AF16A6">
        <w:rPr>
          <w:rFonts w:ascii="Arial" w:hAnsi="Arial" w:cs="Arial"/>
        </w:rPr>
        <w:t xml:space="preserve">, el cual importa la cantidad de  </w:t>
      </w:r>
      <w:r w:rsidRPr="00AF16A6">
        <w:rPr>
          <w:rFonts w:ascii="Arial" w:hAnsi="Arial" w:cs="Arial"/>
          <w:b/>
          <w:bCs/>
        </w:rPr>
        <w:t>10</w:t>
      </w:r>
      <w:r w:rsidR="007F688D" w:rsidRPr="00AF16A6">
        <w:rPr>
          <w:rFonts w:ascii="Arial" w:hAnsi="Arial" w:cs="Arial"/>
          <w:b/>
          <w:bCs/>
        </w:rPr>
        <w:t>7</w:t>
      </w:r>
      <w:r w:rsidRPr="00AF16A6">
        <w:rPr>
          <w:rFonts w:ascii="Arial" w:hAnsi="Arial" w:cs="Arial"/>
          <w:b/>
          <w:bCs/>
        </w:rPr>
        <w:t xml:space="preserve"> mil </w:t>
      </w:r>
      <w:r w:rsidR="007F688D" w:rsidRPr="00AF16A6">
        <w:rPr>
          <w:rFonts w:ascii="Arial" w:hAnsi="Arial" w:cs="Arial"/>
          <w:b/>
          <w:bCs/>
        </w:rPr>
        <w:t>8</w:t>
      </w:r>
      <w:r w:rsidRPr="00AF16A6">
        <w:rPr>
          <w:rFonts w:ascii="Arial" w:hAnsi="Arial" w:cs="Arial"/>
          <w:b/>
          <w:bCs/>
        </w:rPr>
        <w:t>84 millones, 611 mil 2</w:t>
      </w:r>
      <w:r w:rsidR="007F688D" w:rsidRPr="00AF16A6">
        <w:rPr>
          <w:rFonts w:ascii="Arial" w:hAnsi="Arial" w:cs="Arial"/>
          <w:b/>
          <w:bCs/>
        </w:rPr>
        <w:t>61</w:t>
      </w:r>
      <w:r w:rsidRPr="00AF16A6">
        <w:rPr>
          <w:rFonts w:ascii="Arial" w:hAnsi="Arial" w:cs="Arial"/>
          <w:b/>
          <w:bCs/>
        </w:rPr>
        <w:t xml:space="preserve"> pesos</w:t>
      </w:r>
      <w:r w:rsidRPr="00AF16A6">
        <w:rPr>
          <w:rFonts w:ascii="Arial" w:hAnsi="Arial" w:cs="Arial"/>
        </w:rPr>
        <w:t>.</w:t>
      </w:r>
      <w:r w:rsidRPr="00E85C8C">
        <w:rPr>
          <w:rFonts w:ascii="Arial" w:hAnsi="Arial" w:cs="Arial"/>
        </w:rPr>
        <w:t xml:space="preserve">   </w:t>
      </w:r>
    </w:p>
    <w:p w14:paraId="1179CE20" w14:textId="22039FA2" w:rsidR="0093626F" w:rsidRDefault="00C971EC" w:rsidP="00D60720">
      <w:pPr>
        <w:spacing w:line="360" w:lineRule="auto"/>
        <w:jc w:val="both"/>
        <w:rPr>
          <w:rFonts w:ascii="Arial" w:hAnsi="Arial" w:cs="Arial"/>
        </w:rPr>
      </w:pPr>
      <w:r w:rsidRPr="0093626F">
        <w:rPr>
          <w:rFonts w:ascii="Arial" w:hAnsi="Arial" w:cs="Arial"/>
        </w:rPr>
        <w:lastRenderedPageBreak/>
        <w:t>El Presupuesto de Egresos 2026 consolida la transformación administrativa y financiera emprendida por el Gobierno de Michoacán desde 2021. Este documento refleja una visión de Estado orientada a la justicia social, la eficiencia administrativa, el fortalecimiento de la inversión pública estratégica y la sostenibilidad financiera, en correspondencia con los objetivos del Plan de Desarrollo Integral del Estado de Michoacán 2021–2027 (PLAD</w:t>
      </w:r>
      <w:r w:rsidR="00C03359">
        <w:rPr>
          <w:rFonts w:ascii="Arial" w:hAnsi="Arial" w:cs="Arial"/>
        </w:rPr>
        <w:t>IEM</w:t>
      </w:r>
      <w:r w:rsidRPr="0093626F">
        <w:rPr>
          <w:rFonts w:ascii="Arial" w:hAnsi="Arial" w:cs="Arial"/>
        </w:rPr>
        <w:t>).</w:t>
      </w:r>
    </w:p>
    <w:p w14:paraId="5F1065C4" w14:textId="77777777" w:rsidR="005E4BC1" w:rsidRDefault="005E4BC1" w:rsidP="00D60720">
      <w:pPr>
        <w:spacing w:line="360" w:lineRule="auto"/>
        <w:jc w:val="both"/>
        <w:rPr>
          <w:rFonts w:ascii="Arial" w:hAnsi="Arial" w:cs="Arial"/>
        </w:rPr>
      </w:pPr>
    </w:p>
    <w:p w14:paraId="6092CA32" w14:textId="2FDF08E4" w:rsidR="0093626F" w:rsidRDefault="00C971EC" w:rsidP="00D60720">
      <w:pPr>
        <w:spacing w:line="360" w:lineRule="auto"/>
        <w:jc w:val="both"/>
        <w:rPr>
          <w:rFonts w:ascii="Arial" w:hAnsi="Arial" w:cs="Arial"/>
        </w:rPr>
      </w:pPr>
      <w:r w:rsidRPr="00AF16A6">
        <w:rPr>
          <w:rFonts w:ascii="Arial" w:hAnsi="Arial" w:cs="Arial"/>
        </w:rPr>
        <w:t xml:space="preserve">El monto total del Proyecto de Presupuesto de Egresos 2026 asciende a </w:t>
      </w:r>
      <w:r w:rsidR="00D307DE" w:rsidRPr="00AF16A6">
        <w:t xml:space="preserve"> $</w:t>
      </w:r>
      <w:r w:rsidR="00D307DE" w:rsidRPr="00AF16A6">
        <w:rPr>
          <w:rFonts w:ascii="Arial" w:hAnsi="Arial" w:cs="Arial"/>
        </w:rPr>
        <w:t>10</w:t>
      </w:r>
      <w:r w:rsidR="007F688D" w:rsidRPr="00AF16A6">
        <w:rPr>
          <w:rFonts w:ascii="Arial" w:hAnsi="Arial" w:cs="Arial"/>
        </w:rPr>
        <w:t>7,884,611,261</w:t>
      </w:r>
      <w:r w:rsidR="00535A41">
        <w:rPr>
          <w:rFonts w:ascii="Arial" w:hAnsi="Arial" w:cs="Arial"/>
        </w:rPr>
        <w:t xml:space="preserve"> </w:t>
      </w:r>
      <w:r w:rsidR="00D307DE" w:rsidRPr="00AF16A6">
        <w:rPr>
          <w:rFonts w:ascii="Arial" w:hAnsi="Arial" w:cs="Arial"/>
        </w:rPr>
        <w:t>(</w:t>
      </w:r>
      <w:r w:rsidR="00535A41">
        <w:rPr>
          <w:rFonts w:ascii="Arial" w:hAnsi="Arial" w:cs="Arial"/>
        </w:rPr>
        <w:t>C</w:t>
      </w:r>
      <w:r w:rsidR="00D307DE" w:rsidRPr="00AF16A6">
        <w:rPr>
          <w:rFonts w:ascii="Arial" w:hAnsi="Arial" w:cs="Arial"/>
        </w:rPr>
        <w:t>iento s</w:t>
      </w:r>
      <w:r w:rsidR="007F688D" w:rsidRPr="00AF16A6">
        <w:rPr>
          <w:rFonts w:ascii="Arial" w:hAnsi="Arial" w:cs="Arial"/>
        </w:rPr>
        <w:t>iete</w:t>
      </w:r>
      <w:r w:rsidR="00D307DE" w:rsidRPr="00AF16A6">
        <w:rPr>
          <w:rFonts w:ascii="Arial" w:hAnsi="Arial" w:cs="Arial"/>
        </w:rPr>
        <w:t xml:space="preserve"> mil </w:t>
      </w:r>
      <w:r w:rsidR="007F688D" w:rsidRPr="00AF16A6">
        <w:rPr>
          <w:rFonts w:ascii="Arial" w:hAnsi="Arial" w:cs="Arial"/>
        </w:rPr>
        <w:t>ochocientos</w:t>
      </w:r>
      <w:r w:rsidR="00D307DE" w:rsidRPr="00AF16A6">
        <w:rPr>
          <w:rFonts w:ascii="Arial" w:hAnsi="Arial" w:cs="Arial"/>
        </w:rPr>
        <w:t xml:space="preserve"> ochenta y cuatro </w:t>
      </w:r>
      <w:r w:rsidRPr="00AF16A6">
        <w:rPr>
          <w:rFonts w:ascii="Arial" w:hAnsi="Arial" w:cs="Arial"/>
        </w:rPr>
        <w:t>millones</w:t>
      </w:r>
      <w:r w:rsidR="00D307DE" w:rsidRPr="00AF16A6">
        <w:rPr>
          <w:rFonts w:ascii="Arial" w:hAnsi="Arial" w:cs="Arial"/>
        </w:rPr>
        <w:t xml:space="preserve"> seiscientos once mil doscientos sesenta y un pesos</w:t>
      </w:r>
      <w:r w:rsidR="00FC2D3D">
        <w:rPr>
          <w:rFonts w:ascii="Arial" w:hAnsi="Arial" w:cs="Arial"/>
        </w:rPr>
        <w:t xml:space="preserve"> 00/100</w:t>
      </w:r>
      <w:r w:rsidR="00D307DE" w:rsidRPr="00AF16A6">
        <w:rPr>
          <w:rFonts w:ascii="Arial" w:hAnsi="Arial" w:cs="Arial"/>
        </w:rPr>
        <w:t xml:space="preserve"> M.N.)</w:t>
      </w:r>
      <w:r w:rsidRPr="00AF16A6">
        <w:rPr>
          <w:rFonts w:ascii="Arial" w:hAnsi="Arial" w:cs="Arial"/>
        </w:rPr>
        <w:t>, equivalente a un incremento nominal de</w:t>
      </w:r>
      <w:r w:rsidR="007F688D" w:rsidRPr="00AF16A6">
        <w:rPr>
          <w:rFonts w:ascii="Arial" w:hAnsi="Arial" w:cs="Arial"/>
        </w:rPr>
        <w:t>l</w:t>
      </w:r>
      <w:r w:rsidRPr="00AF16A6">
        <w:rPr>
          <w:rFonts w:ascii="Arial" w:hAnsi="Arial" w:cs="Arial"/>
        </w:rPr>
        <w:t xml:space="preserve"> </w:t>
      </w:r>
      <w:r w:rsidR="00DA3951">
        <w:rPr>
          <w:rFonts w:ascii="Arial" w:hAnsi="Arial" w:cs="Arial"/>
        </w:rPr>
        <w:t>9</w:t>
      </w:r>
      <w:r w:rsidRPr="00AF16A6">
        <w:rPr>
          <w:rFonts w:ascii="Arial" w:hAnsi="Arial" w:cs="Arial"/>
        </w:rPr>
        <w:t>%</w:t>
      </w:r>
      <w:r w:rsidRPr="0093626F">
        <w:rPr>
          <w:rFonts w:ascii="Arial" w:hAnsi="Arial" w:cs="Arial"/>
        </w:rPr>
        <w:t xml:space="preserve"> respecto al presupuesto aprobado en 2025. Dicho crecimiento </w:t>
      </w:r>
      <w:r w:rsidR="00D307DE" w:rsidRPr="0093626F">
        <w:rPr>
          <w:rFonts w:ascii="Arial" w:hAnsi="Arial" w:cs="Arial"/>
        </w:rPr>
        <w:t>se enmarca en</w:t>
      </w:r>
      <w:r w:rsidRPr="0093626F">
        <w:rPr>
          <w:rFonts w:ascii="Arial" w:hAnsi="Arial" w:cs="Arial"/>
        </w:rPr>
        <w:t xml:space="preserve"> un contexto macroeconómico nacional estable y de disciplina fiscal federal, con una política de gasto público responsable y orientada al bienestar.</w:t>
      </w:r>
    </w:p>
    <w:p w14:paraId="56E11E74" w14:textId="77777777" w:rsidR="005E4BC1" w:rsidRDefault="005E4BC1" w:rsidP="00D60720">
      <w:pPr>
        <w:spacing w:line="360" w:lineRule="auto"/>
        <w:jc w:val="both"/>
        <w:rPr>
          <w:rFonts w:ascii="Arial" w:hAnsi="Arial" w:cs="Arial"/>
        </w:rPr>
      </w:pPr>
    </w:p>
    <w:p w14:paraId="76AF5283" w14:textId="4369DF67" w:rsidR="00D05183" w:rsidRDefault="00DC72E6" w:rsidP="00D60720">
      <w:pPr>
        <w:spacing w:line="360" w:lineRule="auto"/>
        <w:jc w:val="both"/>
        <w:rPr>
          <w:rFonts w:ascii="Arial" w:hAnsi="Arial" w:cs="Arial"/>
        </w:rPr>
      </w:pPr>
      <w:r w:rsidRPr="00DC72E6">
        <w:rPr>
          <w:rFonts w:ascii="Arial" w:hAnsi="Arial" w:cs="Arial"/>
        </w:rPr>
        <w:t>El</w:t>
      </w:r>
      <w:r>
        <w:rPr>
          <w:rFonts w:ascii="Arial" w:hAnsi="Arial" w:cs="Arial"/>
        </w:rPr>
        <w:t xml:space="preserve"> Proyecto de</w:t>
      </w:r>
      <w:r w:rsidRPr="00DC72E6">
        <w:rPr>
          <w:rFonts w:ascii="Arial" w:hAnsi="Arial" w:cs="Arial"/>
        </w:rPr>
        <w:t xml:space="preserve"> Presupuesto 2026 no es únicamente un documento contable</w:t>
      </w:r>
      <w:r w:rsidR="00006F17">
        <w:rPr>
          <w:rFonts w:ascii="Arial" w:hAnsi="Arial" w:cs="Arial"/>
        </w:rPr>
        <w:t>, programático y presupuestal</w:t>
      </w:r>
      <w:r w:rsidRPr="00DC72E6">
        <w:rPr>
          <w:rFonts w:ascii="Arial" w:hAnsi="Arial" w:cs="Arial"/>
        </w:rPr>
        <w:t>; constituye una herramienta de transformación que refleja la voluntad del Ejecutivo Estatal de consolidar un gobierno eficiente, honesto y con sentido social, donde cada peso público esté orientado a mejorar la calidad de vida de las y los michoacanos, fortalecer la infraestructura estratégica y garantizar la sostenibilidad de las finanzas estatales.</w:t>
      </w:r>
    </w:p>
    <w:p w14:paraId="3D9FCE50" w14:textId="77777777" w:rsidR="005E4BC1" w:rsidRDefault="005E4BC1" w:rsidP="00D60720">
      <w:pPr>
        <w:spacing w:line="360" w:lineRule="auto"/>
        <w:jc w:val="both"/>
        <w:rPr>
          <w:rFonts w:ascii="Arial" w:hAnsi="Arial" w:cs="Arial"/>
        </w:rPr>
      </w:pPr>
    </w:p>
    <w:p w14:paraId="18F91D55" w14:textId="77777777" w:rsidR="00DC72E6" w:rsidRDefault="00DC72E6" w:rsidP="00D60720">
      <w:pPr>
        <w:spacing w:line="360" w:lineRule="auto"/>
        <w:jc w:val="both"/>
        <w:rPr>
          <w:rFonts w:ascii="Arial" w:hAnsi="Arial" w:cs="Arial"/>
        </w:rPr>
      </w:pPr>
      <w:r w:rsidRPr="00DC72E6">
        <w:rPr>
          <w:rFonts w:ascii="Arial" w:hAnsi="Arial" w:cs="Arial"/>
        </w:rPr>
        <w:t>Desde el inicio de la administración, el Gobierno de Michoacán emprendió una reingeniería integral del gasto y la recaudación, enfocada en tres pilares fundamentales:</w:t>
      </w:r>
    </w:p>
    <w:p w14:paraId="32B309A7" w14:textId="77777777" w:rsidR="005E4BC1" w:rsidRDefault="005E4BC1" w:rsidP="00D60720">
      <w:pPr>
        <w:spacing w:line="360" w:lineRule="auto"/>
        <w:jc w:val="both"/>
        <w:rPr>
          <w:rFonts w:ascii="Arial" w:hAnsi="Arial" w:cs="Arial"/>
        </w:rPr>
      </w:pPr>
    </w:p>
    <w:p w14:paraId="432BFCA4" w14:textId="77777777" w:rsidR="00D60720" w:rsidRDefault="00D60720" w:rsidP="00D60720">
      <w:pPr>
        <w:spacing w:line="360" w:lineRule="auto"/>
        <w:jc w:val="both"/>
        <w:rPr>
          <w:rFonts w:ascii="Arial" w:hAnsi="Arial" w:cs="Arial"/>
        </w:rPr>
      </w:pPr>
    </w:p>
    <w:p w14:paraId="0987FC91" w14:textId="77777777" w:rsidR="00D60720" w:rsidRPr="00DC72E6" w:rsidRDefault="00D60720" w:rsidP="00D60720">
      <w:pPr>
        <w:spacing w:line="360" w:lineRule="auto"/>
        <w:jc w:val="both"/>
        <w:rPr>
          <w:rFonts w:ascii="Arial" w:hAnsi="Arial" w:cs="Arial"/>
        </w:rPr>
      </w:pPr>
    </w:p>
    <w:p w14:paraId="27E6F1DD" w14:textId="77777777" w:rsidR="00DC72E6" w:rsidRDefault="00DC72E6" w:rsidP="00D60720">
      <w:pPr>
        <w:spacing w:line="360" w:lineRule="auto"/>
        <w:jc w:val="both"/>
        <w:rPr>
          <w:rFonts w:ascii="Arial" w:hAnsi="Arial" w:cs="Arial"/>
        </w:rPr>
      </w:pPr>
      <w:r w:rsidRPr="00DC72E6">
        <w:rPr>
          <w:rFonts w:ascii="Arial" w:hAnsi="Arial" w:cs="Arial"/>
        </w:rPr>
        <w:t>a) Saneamiento financiero y fortalecimiento institucional</w:t>
      </w:r>
    </w:p>
    <w:p w14:paraId="40F10A1D" w14:textId="77777777" w:rsidR="00D60720" w:rsidRPr="00DC72E6" w:rsidRDefault="00D60720" w:rsidP="00D60720">
      <w:pPr>
        <w:spacing w:line="360" w:lineRule="auto"/>
        <w:jc w:val="both"/>
        <w:rPr>
          <w:rFonts w:ascii="Arial" w:hAnsi="Arial" w:cs="Arial"/>
        </w:rPr>
      </w:pPr>
    </w:p>
    <w:p w14:paraId="61D976A9" w14:textId="77777777" w:rsidR="00DC72E6" w:rsidRPr="00DC72E6" w:rsidRDefault="00DC72E6" w:rsidP="00D60720">
      <w:pPr>
        <w:numPr>
          <w:ilvl w:val="0"/>
          <w:numId w:val="10"/>
        </w:numPr>
        <w:spacing w:line="360" w:lineRule="auto"/>
        <w:jc w:val="both"/>
        <w:rPr>
          <w:rFonts w:ascii="Arial" w:hAnsi="Arial" w:cs="Arial"/>
        </w:rPr>
      </w:pPr>
      <w:r w:rsidRPr="00DC72E6">
        <w:rPr>
          <w:rFonts w:ascii="Arial" w:hAnsi="Arial" w:cs="Arial"/>
        </w:rPr>
        <w:t>Se redujeron de manera sostenida los pasivos históricos superiores a 10 mil millones de pesos, heredados de ejercicios anteriores.</w:t>
      </w:r>
    </w:p>
    <w:p w14:paraId="6EAA2741" w14:textId="54DB861E" w:rsidR="00DC72E6" w:rsidRPr="00DC72E6" w:rsidRDefault="00DC72E6" w:rsidP="00D60720">
      <w:pPr>
        <w:numPr>
          <w:ilvl w:val="0"/>
          <w:numId w:val="10"/>
        </w:numPr>
        <w:spacing w:line="360" w:lineRule="auto"/>
        <w:jc w:val="both"/>
        <w:rPr>
          <w:rFonts w:ascii="Arial" w:hAnsi="Arial" w:cs="Arial"/>
        </w:rPr>
      </w:pPr>
      <w:r w:rsidRPr="00DC72E6">
        <w:rPr>
          <w:rFonts w:ascii="Arial" w:hAnsi="Arial" w:cs="Arial"/>
        </w:rPr>
        <w:t>Se optimizó la deuda pública dentro de los parámetros de endeudamiento sostenible definidos por la LDFEFM, lo que se tradujo en un menor costo financiero.</w:t>
      </w:r>
    </w:p>
    <w:p w14:paraId="10B0DE1B" w14:textId="77777777" w:rsidR="00DC72E6" w:rsidRPr="00DC72E6" w:rsidRDefault="00DC72E6" w:rsidP="00D60720">
      <w:pPr>
        <w:numPr>
          <w:ilvl w:val="0"/>
          <w:numId w:val="10"/>
        </w:numPr>
        <w:spacing w:line="360" w:lineRule="auto"/>
        <w:jc w:val="both"/>
        <w:rPr>
          <w:rFonts w:ascii="Arial" w:hAnsi="Arial" w:cs="Arial"/>
        </w:rPr>
      </w:pPr>
      <w:r w:rsidRPr="00DC72E6">
        <w:rPr>
          <w:rFonts w:ascii="Arial" w:hAnsi="Arial" w:cs="Arial"/>
        </w:rPr>
        <w:t>Se mejoró la calificación crediticia del Estado, fortaleciendo la confianza de las instituciones financieras y de los proveedores.</w:t>
      </w:r>
    </w:p>
    <w:p w14:paraId="6C455E17" w14:textId="3985EBD5" w:rsidR="00DC72E6" w:rsidRDefault="00DC72E6" w:rsidP="00D60720">
      <w:pPr>
        <w:numPr>
          <w:ilvl w:val="0"/>
          <w:numId w:val="10"/>
        </w:numPr>
        <w:spacing w:line="360" w:lineRule="auto"/>
        <w:jc w:val="both"/>
        <w:rPr>
          <w:rFonts w:ascii="Arial" w:hAnsi="Arial" w:cs="Arial"/>
        </w:rPr>
      </w:pPr>
      <w:r w:rsidRPr="00DC72E6">
        <w:rPr>
          <w:rFonts w:ascii="Arial" w:hAnsi="Arial" w:cs="Arial"/>
        </w:rPr>
        <w:t>Se implementaron mecanismos de planeación multianual, lo que permitió programar recursos estratégicos a proyectos</w:t>
      </w:r>
      <w:r>
        <w:rPr>
          <w:rFonts w:ascii="Arial" w:hAnsi="Arial" w:cs="Arial"/>
        </w:rPr>
        <w:t xml:space="preserve"> de inversión</w:t>
      </w:r>
      <w:r w:rsidRPr="00DC72E6">
        <w:rPr>
          <w:rFonts w:ascii="Arial" w:hAnsi="Arial" w:cs="Arial"/>
        </w:rPr>
        <w:t xml:space="preserve"> de </w:t>
      </w:r>
      <w:r>
        <w:rPr>
          <w:rFonts w:ascii="Arial" w:hAnsi="Arial" w:cs="Arial"/>
        </w:rPr>
        <w:t>mediano</w:t>
      </w:r>
      <w:r w:rsidRPr="00DC72E6">
        <w:rPr>
          <w:rFonts w:ascii="Arial" w:hAnsi="Arial" w:cs="Arial"/>
        </w:rPr>
        <w:t xml:space="preserve"> plazo.</w:t>
      </w:r>
    </w:p>
    <w:p w14:paraId="63F68994" w14:textId="77777777" w:rsidR="00D84CE9" w:rsidRPr="00DC72E6" w:rsidRDefault="00D84CE9" w:rsidP="00D60720">
      <w:pPr>
        <w:spacing w:line="360" w:lineRule="auto"/>
        <w:ind w:left="720"/>
        <w:jc w:val="both"/>
        <w:rPr>
          <w:rFonts w:ascii="Arial" w:hAnsi="Arial" w:cs="Arial"/>
        </w:rPr>
      </w:pPr>
    </w:p>
    <w:p w14:paraId="6DD8C5F7" w14:textId="6F9F224C" w:rsidR="00DA23A3" w:rsidRDefault="00DA23A3" w:rsidP="00D60720">
      <w:pPr>
        <w:spacing w:line="360" w:lineRule="auto"/>
        <w:jc w:val="both"/>
        <w:rPr>
          <w:rFonts w:ascii="Arial" w:hAnsi="Arial" w:cs="Arial"/>
        </w:rPr>
      </w:pPr>
      <w:r w:rsidRPr="00DA23A3">
        <w:rPr>
          <w:rFonts w:ascii="Arial" w:hAnsi="Arial" w:cs="Arial"/>
        </w:rPr>
        <w:t>b) Eficiencia administrativa, digitalización y control del gasto</w:t>
      </w:r>
    </w:p>
    <w:p w14:paraId="7A1DC04A" w14:textId="77777777" w:rsidR="00D60720" w:rsidRPr="00DA23A3" w:rsidRDefault="00D60720" w:rsidP="00D60720">
      <w:pPr>
        <w:spacing w:line="360" w:lineRule="auto"/>
        <w:jc w:val="both"/>
        <w:rPr>
          <w:rFonts w:ascii="Arial" w:hAnsi="Arial" w:cs="Arial"/>
        </w:rPr>
      </w:pPr>
    </w:p>
    <w:p w14:paraId="6396CFB8" w14:textId="7330ABF4" w:rsidR="00DA23A3" w:rsidRDefault="00DA23A3" w:rsidP="00D60720">
      <w:pPr>
        <w:pStyle w:val="Prrafodelista"/>
        <w:numPr>
          <w:ilvl w:val="0"/>
          <w:numId w:val="11"/>
        </w:numPr>
        <w:spacing w:line="360" w:lineRule="auto"/>
        <w:jc w:val="both"/>
        <w:rPr>
          <w:rFonts w:ascii="Arial" w:hAnsi="Arial" w:cs="Arial"/>
        </w:rPr>
      </w:pPr>
      <w:r w:rsidRPr="00DA23A3">
        <w:rPr>
          <w:rFonts w:ascii="Arial" w:hAnsi="Arial" w:cs="Arial"/>
        </w:rPr>
        <w:t>Se instauró una política transversal de austeridad y eficiencia en todas las dependencias, eliminando duplicidades administrativas y gastos superfluos.</w:t>
      </w:r>
    </w:p>
    <w:p w14:paraId="4829F773" w14:textId="18119019" w:rsidR="00781452" w:rsidRPr="00DA23A3" w:rsidRDefault="00781452" w:rsidP="00D60720">
      <w:pPr>
        <w:pStyle w:val="Prrafodelista"/>
        <w:numPr>
          <w:ilvl w:val="0"/>
          <w:numId w:val="11"/>
        </w:numPr>
        <w:spacing w:line="360" w:lineRule="auto"/>
        <w:jc w:val="both"/>
        <w:rPr>
          <w:rFonts w:ascii="Arial" w:hAnsi="Arial" w:cs="Arial"/>
        </w:rPr>
      </w:pPr>
      <w:r>
        <w:rPr>
          <w:rFonts w:ascii="Arial" w:hAnsi="Arial" w:cs="Arial"/>
        </w:rPr>
        <w:t>A través de Gobierno Digital se han instaurado más de 200 trámites totalmente de manera digital.</w:t>
      </w:r>
    </w:p>
    <w:p w14:paraId="6440F84B" w14:textId="672D64AC" w:rsidR="00DA23A3" w:rsidRPr="00DA23A3" w:rsidRDefault="00DA23A3" w:rsidP="00D60720">
      <w:pPr>
        <w:pStyle w:val="Prrafodelista"/>
        <w:numPr>
          <w:ilvl w:val="0"/>
          <w:numId w:val="11"/>
        </w:numPr>
        <w:spacing w:line="360" w:lineRule="auto"/>
        <w:jc w:val="both"/>
        <w:rPr>
          <w:rFonts w:ascii="Arial" w:hAnsi="Arial" w:cs="Arial"/>
        </w:rPr>
      </w:pPr>
      <w:r w:rsidRPr="00DA23A3">
        <w:rPr>
          <w:rFonts w:ascii="Arial" w:hAnsi="Arial" w:cs="Arial"/>
        </w:rPr>
        <w:t>A través del SATMICH</w:t>
      </w:r>
      <w:r>
        <w:rPr>
          <w:rFonts w:ascii="Arial" w:hAnsi="Arial" w:cs="Arial"/>
        </w:rPr>
        <w:t xml:space="preserve"> y el Gobierno Digital</w:t>
      </w:r>
      <w:r w:rsidRPr="00DA23A3">
        <w:rPr>
          <w:rFonts w:ascii="Arial" w:hAnsi="Arial" w:cs="Arial"/>
        </w:rPr>
        <w:t>, la recaudación propia aumentó en más de</w:t>
      </w:r>
      <w:r w:rsidR="009C4D4C">
        <w:rPr>
          <w:rFonts w:ascii="Arial" w:hAnsi="Arial" w:cs="Arial"/>
        </w:rPr>
        <w:t>l 30</w:t>
      </w:r>
      <w:r w:rsidRPr="00DA23A3">
        <w:rPr>
          <w:rFonts w:ascii="Arial" w:hAnsi="Arial" w:cs="Arial"/>
        </w:rPr>
        <w:t>% respecto a 2024, sin crear nuevos impuestos.</w:t>
      </w:r>
    </w:p>
    <w:p w14:paraId="4176D590" w14:textId="34BDD0A8" w:rsidR="00DA23A3" w:rsidRPr="00DA23A3" w:rsidRDefault="00DA23A3" w:rsidP="00D60720">
      <w:pPr>
        <w:pStyle w:val="Prrafodelista"/>
        <w:numPr>
          <w:ilvl w:val="0"/>
          <w:numId w:val="11"/>
        </w:numPr>
        <w:spacing w:line="360" w:lineRule="auto"/>
        <w:jc w:val="both"/>
        <w:rPr>
          <w:rFonts w:ascii="Arial" w:hAnsi="Arial" w:cs="Arial"/>
        </w:rPr>
      </w:pPr>
      <w:r w:rsidRPr="00DA23A3">
        <w:rPr>
          <w:rFonts w:ascii="Arial" w:hAnsi="Arial" w:cs="Arial"/>
        </w:rPr>
        <w:t>Se consolidaron procesos internos certificados bajo la Norma</w:t>
      </w:r>
      <w:r w:rsidR="006B7280">
        <w:rPr>
          <w:rFonts w:ascii="Arial" w:hAnsi="Arial" w:cs="Arial"/>
        </w:rPr>
        <w:t>s</w:t>
      </w:r>
      <w:r w:rsidRPr="00DA23A3">
        <w:rPr>
          <w:rFonts w:ascii="Arial" w:hAnsi="Arial" w:cs="Arial"/>
        </w:rPr>
        <w:t xml:space="preserve"> ISO 9001</w:t>
      </w:r>
      <w:r w:rsidR="006B7280">
        <w:rPr>
          <w:rFonts w:ascii="Arial" w:hAnsi="Arial" w:cs="Arial"/>
        </w:rPr>
        <w:t xml:space="preserve"> e ISO 37001</w:t>
      </w:r>
      <w:r w:rsidRPr="00DA23A3">
        <w:rPr>
          <w:rFonts w:ascii="Arial" w:hAnsi="Arial" w:cs="Arial"/>
        </w:rPr>
        <w:t>, garantizando calidad en la planeación, programación y control presupuestal</w:t>
      </w:r>
      <w:r w:rsidR="005F124F">
        <w:rPr>
          <w:rFonts w:ascii="Arial" w:hAnsi="Arial" w:cs="Arial"/>
        </w:rPr>
        <w:t xml:space="preserve">, así como, </w:t>
      </w:r>
      <w:r w:rsidR="0039183D">
        <w:rPr>
          <w:rFonts w:ascii="Arial" w:hAnsi="Arial" w:cs="Arial"/>
        </w:rPr>
        <w:t>procesos contra la corrupción, fraude y soborno</w:t>
      </w:r>
      <w:r w:rsidR="006873E7">
        <w:rPr>
          <w:rFonts w:ascii="Arial" w:hAnsi="Arial" w:cs="Arial"/>
        </w:rPr>
        <w:t xml:space="preserve"> que fortalecen </w:t>
      </w:r>
      <w:r w:rsidR="0012390C">
        <w:rPr>
          <w:rFonts w:ascii="Arial" w:hAnsi="Arial" w:cs="Arial"/>
        </w:rPr>
        <w:t xml:space="preserve">la </w:t>
      </w:r>
      <w:r w:rsidR="006873E7">
        <w:rPr>
          <w:rFonts w:ascii="Arial" w:hAnsi="Arial" w:cs="Arial"/>
        </w:rPr>
        <w:t>integridad</w:t>
      </w:r>
      <w:r w:rsidR="00EB318D">
        <w:rPr>
          <w:rFonts w:ascii="Arial" w:hAnsi="Arial" w:cs="Arial"/>
        </w:rPr>
        <w:t xml:space="preserve"> y</w:t>
      </w:r>
      <w:r w:rsidR="006873E7">
        <w:rPr>
          <w:rFonts w:ascii="Arial" w:hAnsi="Arial" w:cs="Arial"/>
        </w:rPr>
        <w:t xml:space="preserve"> transparencia</w:t>
      </w:r>
      <w:r w:rsidR="00EB318D">
        <w:rPr>
          <w:rFonts w:ascii="Arial" w:hAnsi="Arial" w:cs="Arial"/>
        </w:rPr>
        <w:t xml:space="preserve"> en el ejercicio del gasto público</w:t>
      </w:r>
      <w:r w:rsidRPr="00DA23A3">
        <w:rPr>
          <w:rFonts w:ascii="Arial" w:hAnsi="Arial" w:cs="Arial"/>
        </w:rPr>
        <w:t>.</w:t>
      </w:r>
    </w:p>
    <w:p w14:paraId="1EDE83B2" w14:textId="3CB4654D" w:rsidR="00DA23A3" w:rsidRDefault="00DA23A3" w:rsidP="00D60720">
      <w:pPr>
        <w:pStyle w:val="Prrafodelista"/>
        <w:numPr>
          <w:ilvl w:val="0"/>
          <w:numId w:val="11"/>
        </w:numPr>
        <w:spacing w:line="360" w:lineRule="auto"/>
        <w:jc w:val="both"/>
        <w:rPr>
          <w:rFonts w:ascii="Arial" w:hAnsi="Arial" w:cs="Arial"/>
        </w:rPr>
      </w:pPr>
      <w:r w:rsidRPr="00DA23A3">
        <w:rPr>
          <w:rFonts w:ascii="Arial" w:hAnsi="Arial" w:cs="Arial"/>
        </w:rPr>
        <w:t>Se integró la gestión del gasto al Sistema Integral de Análisis Programático Presupuestal (SIAPP), con seguimiento en línea para todas las Unidades Programáticas Presupuestarias (UPP).</w:t>
      </w:r>
    </w:p>
    <w:p w14:paraId="46C4C727" w14:textId="77777777" w:rsidR="005E4BC1" w:rsidRPr="00DA23A3" w:rsidRDefault="005E4BC1" w:rsidP="00D60720">
      <w:pPr>
        <w:pStyle w:val="Prrafodelista"/>
        <w:spacing w:line="360" w:lineRule="auto"/>
        <w:jc w:val="both"/>
        <w:rPr>
          <w:rFonts w:ascii="Arial" w:hAnsi="Arial" w:cs="Arial"/>
        </w:rPr>
      </w:pPr>
    </w:p>
    <w:p w14:paraId="37157BB5" w14:textId="7DE39C6D" w:rsidR="00DA23A3" w:rsidRDefault="00DA23A3" w:rsidP="00D60720">
      <w:pPr>
        <w:spacing w:line="360" w:lineRule="auto"/>
        <w:jc w:val="both"/>
        <w:rPr>
          <w:rFonts w:ascii="Arial" w:hAnsi="Arial" w:cs="Arial"/>
        </w:rPr>
      </w:pPr>
      <w:r w:rsidRPr="00DA23A3">
        <w:rPr>
          <w:rFonts w:ascii="Arial" w:hAnsi="Arial" w:cs="Arial"/>
        </w:rPr>
        <w:t>c) Desarrollo social, infraestructura y bienestar</w:t>
      </w:r>
    </w:p>
    <w:p w14:paraId="6266DB34" w14:textId="77777777" w:rsidR="00D60720" w:rsidRPr="00DA23A3" w:rsidRDefault="00D60720" w:rsidP="00D60720">
      <w:pPr>
        <w:spacing w:line="360" w:lineRule="auto"/>
        <w:jc w:val="both"/>
        <w:rPr>
          <w:rFonts w:ascii="Arial" w:hAnsi="Arial" w:cs="Arial"/>
        </w:rPr>
      </w:pPr>
    </w:p>
    <w:p w14:paraId="4E37B03D" w14:textId="77777777" w:rsidR="00DA23A3" w:rsidRPr="00DA23A3" w:rsidRDefault="00DA23A3" w:rsidP="00D60720">
      <w:pPr>
        <w:numPr>
          <w:ilvl w:val="0"/>
          <w:numId w:val="12"/>
        </w:numPr>
        <w:spacing w:line="360" w:lineRule="auto"/>
        <w:jc w:val="both"/>
        <w:rPr>
          <w:rFonts w:ascii="Arial" w:hAnsi="Arial" w:cs="Arial"/>
        </w:rPr>
      </w:pPr>
      <w:r w:rsidRPr="00DA23A3">
        <w:rPr>
          <w:rFonts w:ascii="Arial" w:hAnsi="Arial" w:cs="Arial"/>
        </w:rPr>
        <w:t>Se fortalecieron los programas sociales estatales y municipales, con enfoque en equidad, inclusión y bienestar comunitario.</w:t>
      </w:r>
    </w:p>
    <w:p w14:paraId="4970EAB4" w14:textId="77777777" w:rsidR="00DA23A3" w:rsidRPr="00DA23A3" w:rsidRDefault="00DA23A3" w:rsidP="00D60720">
      <w:pPr>
        <w:numPr>
          <w:ilvl w:val="0"/>
          <w:numId w:val="12"/>
        </w:numPr>
        <w:spacing w:line="360" w:lineRule="auto"/>
        <w:jc w:val="both"/>
        <w:rPr>
          <w:rFonts w:ascii="Arial" w:hAnsi="Arial" w:cs="Arial"/>
        </w:rPr>
      </w:pPr>
      <w:r w:rsidRPr="00DA23A3">
        <w:rPr>
          <w:rFonts w:ascii="Arial" w:hAnsi="Arial" w:cs="Arial"/>
        </w:rPr>
        <w:t>Se consolidó el esquema de presupuesto directo a comunidades indígenas, impulsando el autogobierno y la gestión autónoma de recursos, en cumplimiento con sentencias y políticas de reconocimiento de derechos colectivos.</w:t>
      </w:r>
    </w:p>
    <w:p w14:paraId="0BE8CD5E" w14:textId="0DB1643C" w:rsidR="00DA23A3" w:rsidRPr="00DA23A3" w:rsidRDefault="00DA23A3" w:rsidP="00D60720">
      <w:pPr>
        <w:numPr>
          <w:ilvl w:val="0"/>
          <w:numId w:val="12"/>
        </w:numPr>
        <w:spacing w:line="360" w:lineRule="auto"/>
        <w:jc w:val="both"/>
        <w:rPr>
          <w:rFonts w:ascii="Arial" w:hAnsi="Arial" w:cs="Arial"/>
        </w:rPr>
      </w:pPr>
      <w:r w:rsidRPr="00DA23A3">
        <w:rPr>
          <w:rFonts w:ascii="Arial" w:hAnsi="Arial" w:cs="Arial"/>
        </w:rPr>
        <w:t xml:space="preserve">En materia de infraestructura, la inversión pública multianual </w:t>
      </w:r>
      <w:r w:rsidR="00096C31">
        <w:rPr>
          <w:rFonts w:ascii="Arial" w:hAnsi="Arial" w:cs="Arial"/>
        </w:rPr>
        <w:t>se llegó a</w:t>
      </w:r>
      <w:r w:rsidRPr="00DA23A3">
        <w:rPr>
          <w:rFonts w:ascii="Arial" w:hAnsi="Arial" w:cs="Arial"/>
        </w:rPr>
        <w:t xml:space="preserve"> </w:t>
      </w:r>
      <w:r w:rsidR="00AE6222">
        <w:rPr>
          <w:rFonts w:ascii="Arial" w:hAnsi="Arial" w:cs="Arial"/>
        </w:rPr>
        <w:t xml:space="preserve">más de </w:t>
      </w:r>
      <w:r w:rsidR="00C53E86">
        <w:rPr>
          <w:rFonts w:ascii="Arial" w:hAnsi="Arial" w:cs="Arial"/>
        </w:rPr>
        <w:t>11</w:t>
      </w:r>
      <w:r w:rsidR="00096C31">
        <w:rPr>
          <w:rFonts w:ascii="Arial" w:hAnsi="Arial" w:cs="Arial"/>
        </w:rPr>
        <w:t>,000</w:t>
      </w:r>
      <w:r w:rsidRPr="00DA23A3">
        <w:rPr>
          <w:rFonts w:ascii="Arial" w:hAnsi="Arial" w:cs="Arial"/>
        </w:rPr>
        <w:t xml:space="preserve"> millones de pesos, destacando la modernización de tramos carreteros, infraestructura hidráulica y proyectos de movilidad </w:t>
      </w:r>
      <w:r w:rsidR="00096C31">
        <w:rPr>
          <w:rFonts w:ascii="Arial" w:hAnsi="Arial" w:cs="Arial"/>
        </w:rPr>
        <w:t xml:space="preserve">e infraestructura </w:t>
      </w:r>
      <w:r w:rsidRPr="00DA23A3">
        <w:rPr>
          <w:rFonts w:ascii="Arial" w:hAnsi="Arial" w:cs="Arial"/>
        </w:rPr>
        <w:t>urbana</w:t>
      </w:r>
      <w:r w:rsidR="00096C31">
        <w:rPr>
          <w:rFonts w:ascii="Arial" w:hAnsi="Arial" w:cs="Arial"/>
        </w:rPr>
        <w:t>.</w:t>
      </w:r>
      <w:r w:rsidRPr="00DA23A3">
        <w:rPr>
          <w:rFonts w:ascii="Arial" w:hAnsi="Arial" w:cs="Arial"/>
        </w:rPr>
        <w:t xml:space="preserve"> </w:t>
      </w:r>
    </w:p>
    <w:p w14:paraId="6853DC49" w14:textId="77777777" w:rsidR="00896808" w:rsidRDefault="00896808" w:rsidP="00D60720">
      <w:pPr>
        <w:spacing w:line="360" w:lineRule="auto"/>
        <w:jc w:val="both"/>
        <w:rPr>
          <w:rFonts w:ascii="Arial" w:hAnsi="Arial" w:cs="Arial"/>
        </w:rPr>
      </w:pPr>
    </w:p>
    <w:p w14:paraId="5F620458" w14:textId="543AA189" w:rsidR="0093626F" w:rsidRDefault="00096C31" w:rsidP="00D60720">
      <w:pPr>
        <w:spacing w:line="360" w:lineRule="auto"/>
        <w:jc w:val="both"/>
        <w:rPr>
          <w:rFonts w:ascii="Arial" w:hAnsi="Arial" w:cs="Arial"/>
        </w:rPr>
      </w:pPr>
      <w:r w:rsidRPr="00096C31">
        <w:rPr>
          <w:rFonts w:ascii="Arial" w:hAnsi="Arial" w:cs="Arial"/>
        </w:rPr>
        <w:t>El Presupuesto 2026 refleja la madurez alcanzada por la administración estatal al conjugar disciplina fiscal con política social expansiva. La política presupuestaria estatal se alinea a los objetivos del Gobierno Federal de mantener finanzas públicas sanas, fortalecer la infraestructura nacional y consolidar los programas de bienestar, contribuyendo de manera coordinada al desarrollo económico y social del país.</w:t>
      </w:r>
    </w:p>
    <w:p w14:paraId="09279676" w14:textId="77777777" w:rsidR="005E4BC1" w:rsidRDefault="005E4BC1" w:rsidP="00D60720">
      <w:pPr>
        <w:spacing w:line="360" w:lineRule="auto"/>
        <w:jc w:val="both"/>
        <w:rPr>
          <w:rFonts w:ascii="Arial" w:hAnsi="Arial" w:cs="Arial"/>
        </w:rPr>
      </w:pPr>
    </w:p>
    <w:p w14:paraId="0E220439" w14:textId="33778A99" w:rsidR="0093626F" w:rsidRDefault="00C971EC" w:rsidP="00D60720">
      <w:pPr>
        <w:spacing w:line="360" w:lineRule="auto"/>
        <w:jc w:val="both"/>
        <w:rPr>
          <w:rFonts w:ascii="Arial" w:hAnsi="Arial" w:cs="Arial"/>
        </w:rPr>
      </w:pPr>
      <w:r w:rsidRPr="0093626F">
        <w:rPr>
          <w:rFonts w:ascii="Arial" w:hAnsi="Arial" w:cs="Arial"/>
        </w:rPr>
        <w:t>La formulación del Presupuesto de Egresos 2026 se apega a los lineamientos emitidos por la Secretaría de Finanzas y Administración (SFA), observando la Ley de Planeación Hacendaria, Presupuesto, Gasto Público y Contabilidad Gubernamental del Estado de Michoacán</w:t>
      </w:r>
      <w:r w:rsidR="00FC2D3D">
        <w:rPr>
          <w:rFonts w:ascii="Arial" w:hAnsi="Arial" w:cs="Arial"/>
        </w:rPr>
        <w:t xml:space="preserve"> de Ocampo</w:t>
      </w:r>
      <w:r w:rsidRPr="0093626F">
        <w:rPr>
          <w:rFonts w:ascii="Arial" w:hAnsi="Arial" w:cs="Arial"/>
        </w:rPr>
        <w:t>, la Ley de Disciplina Financiera, la Ley General de Contabilidad Gubernamental, y las disposiciones del Consejo Nacional de Armonización Contable (CONAC).</w:t>
      </w:r>
    </w:p>
    <w:p w14:paraId="4B06C734" w14:textId="77777777" w:rsidR="005E4BC1" w:rsidRDefault="005E4BC1" w:rsidP="00D60720">
      <w:pPr>
        <w:spacing w:line="360" w:lineRule="auto"/>
        <w:jc w:val="both"/>
        <w:rPr>
          <w:rFonts w:ascii="Arial" w:hAnsi="Arial" w:cs="Arial"/>
        </w:rPr>
      </w:pPr>
    </w:p>
    <w:p w14:paraId="62414B5F" w14:textId="4855CD94" w:rsidR="00865ACC" w:rsidRDefault="00D84CE9" w:rsidP="00D60720">
      <w:pPr>
        <w:spacing w:line="360" w:lineRule="auto"/>
        <w:jc w:val="both"/>
        <w:rPr>
          <w:rFonts w:ascii="Arial" w:hAnsi="Arial" w:cs="Arial"/>
        </w:rPr>
      </w:pPr>
      <w:r>
        <w:rPr>
          <w:rFonts w:ascii="Arial" w:hAnsi="Arial" w:cs="Arial"/>
        </w:rPr>
        <w:t>Asimismo, e</w:t>
      </w:r>
      <w:r w:rsidR="00865ACC" w:rsidRPr="00865ACC">
        <w:rPr>
          <w:rFonts w:ascii="Arial" w:hAnsi="Arial" w:cs="Arial"/>
        </w:rPr>
        <w:t>l proceso presupuestario 2026 se sustenta en el Ciclo Presupuestario Integral, que comprende las etapas de planeación, programación, presupuestación, ejercicio, control, evaluación y rendición de cuentas, garantizando que las acciones institucionales se encuentren plenamente articuladas con los objetivos del desarrollo estatal.</w:t>
      </w:r>
    </w:p>
    <w:p w14:paraId="6B2EB4E2" w14:textId="77777777" w:rsidR="005E4BC1" w:rsidRDefault="005E4BC1" w:rsidP="00D60720">
      <w:pPr>
        <w:spacing w:line="360" w:lineRule="auto"/>
        <w:jc w:val="center"/>
        <w:rPr>
          <w:rFonts w:ascii="Arial" w:hAnsi="Arial" w:cs="Arial"/>
          <w:b/>
          <w:bCs/>
        </w:rPr>
      </w:pPr>
    </w:p>
    <w:p w14:paraId="5CDC5084" w14:textId="77777777" w:rsidR="005E4BC1" w:rsidRDefault="005E4BC1" w:rsidP="00D60720">
      <w:pPr>
        <w:spacing w:line="360" w:lineRule="auto"/>
        <w:jc w:val="center"/>
        <w:rPr>
          <w:rFonts w:ascii="Arial" w:hAnsi="Arial" w:cs="Arial"/>
          <w:b/>
          <w:bCs/>
        </w:rPr>
      </w:pPr>
    </w:p>
    <w:p w14:paraId="616FF592" w14:textId="0B09B757" w:rsidR="005E4BC1" w:rsidRDefault="005E4BC1" w:rsidP="00D60720">
      <w:pPr>
        <w:spacing w:line="360" w:lineRule="auto"/>
        <w:jc w:val="center"/>
        <w:rPr>
          <w:rFonts w:ascii="Arial" w:hAnsi="Arial" w:cs="Arial"/>
          <w:b/>
          <w:bCs/>
        </w:rPr>
      </w:pPr>
      <w:r w:rsidRPr="005E4BC1">
        <w:rPr>
          <w:rFonts w:ascii="Arial" w:hAnsi="Arial" w:cs="Arial"/>
          <w:b/>
          <w:bCs/>
        </w:rPr>
        <w:t>CICLO PRESUPUESTARIO</w:t>
      </w:r>
    </w:p>
    <w:p w14:paraId="22A47B92" w14:textId="77777777" w:rsidR="005E4BC1" w:rsidRPr="005E4BC1" w:rsidRDefault="005E4BC1" w:rsidP="00D60720">
      <w:pPr>
        <w:spacing w:line="360" w:lineRule="auto"/>
        <w:jc w:val="center"/>
        <w:rPr>
          <w:rFonts w:ascii="Arial" w:hAnsi="Arial" w:cs="Arial"/>
          <w:b/>
          <w:bCs/>
        </w:rPr>
      </w:pPr>
    </w:p>
    <w:p w14:paraId="432CF51F" w14:textId="48A5952A" w:rsidR="00865ACC" w:rsidRDefault="00865ACC" w:rsidP="00D60720">
      <w:pPr>
        <w:spacing w:line="360" w:lineRule="auto"/>
        <w:jc w:val="both"/>
        <w:rPr>
          <w:rFonts w:ascii="Arial" w:hAnsi="Arial" w:cs="Arial"/>
          <w:sz w:val="20"/>
          <w:szCs w:val="20"/>
        </w:rPr>
      </w:pPr>
      <w:r w:rsidRPr="00865ACC">
        <w:rPr>
          <w:rFonts w:ascii="Arial" w:hAnsi="Arial" w:cs="Arial"/>
          <w:noProof/>
        </w:rPr>
        <w:drawing>
          <wp:inline distT="0" distB="0" distL="0" distR="0" wp14:anchorId="405F9A8E" wp14:editId="7E91A0A9">
            <wp:extent cx="5486400" cy="3316605"/>
            <wp:effectExtent l="0" t="0" r="0" b="0"/>
            <wp:docPr id="1023917909"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263570" name="Imagen 1" descr="Diagrama&#10;&#10;El contenido generado por IA puede ser incorrecto."/>
                    <pic:cNvPicPr/>
                  </pic:nvPicPr>
                  <pic:blipFill>
                    <a:blip r:embed="rId8"/>
                    <a:stretch>
                      <a:fillRect/>
                    </a:stretch>
                  </pic:blipFill>
                  <pic:spPr>
                    <a:xfrm>
                      <a:off x="0" y="0"/>
                      <a:ext cx="5486400" cy="3316605"/>
                    </a:xfrm>
                    <a:prstGeom prst="rect">
                      <a:avLst/>
                    </a:prstGeom>
                  </pic:spPr>
                </pic:pic>
              </a:graphicData>
            </a:graphic>
          </wp:inline>
        </w:drawing>
      </w:r>
      <w:r w:rsidR="005E4BC1">
        <w:rPr>
          <w:rFonts w:ascii="Arial" w:hAnsi="Arial" w:cs="Arial"/>
        </w:rPr>
        <w:br/>
      </w:r>
      <w:r w:rsidR="005E4BC1">
        <w:rPr>
          <w:rFonts w:ascii="Arial" w:hAnsi="Arial" w:cs="Arial"/>
          <w:sz w:val="20"/>
          <w:szCs w:val="20"/>
        </w:rPr>
        <w:t>Elaboración Propia, Ciclo Presupuestario.</w:t>
      </w:r>
    </w:p>
    <w:p w14:paraId="046FF905" w14:textId="77777777" w:rsidR="005E4BC1" w:rsidRPr="005E4BC1" w:rsidRDefault="005E4BC1" w:rsidP="00D60720">
      <w:pPr>
        <w:spacing w:line="360" w:lineRule="auto"/>
        <w:jc w:val="both"/>
        <w:rPr>
          <w:rFonts w:ascii="Arial" w:hAnsi="Arial" w:cs="Arial"/>
          <w:sz w:val="20"/>
          <w:szCs w:val="20"/>
        </w:rPr>
      </w:pPr>
    </w:p>
    <w:p w14:paraId="5C8122B7" w14:textId="5B4BEE8A" w:rsidR="00896808" w:rsidRDefault="00896808" w:rsidP="00D60720">
      <w:pPr>
        <w:spacing w:line="360" w:lineRule="auto"/>
        <w:jc w:val="both"/>
        <w:rPr>
          <w:rFonts w:ascii="Arial" w:hAnsi="Arial" w:cs="Arial"/>
        </w:rPr>
      </w:pPr>
      <w:r w:rsidRPr="00896808">
        <w:rPr>
          <w:rFonts w:ascii="Arial" w:hAnsi="Arial" w:cs="Arial"/>
        </w:rPr>
        <w:t>El PLAD</w:t>
      </w:r>
      <w:r w:rsidR="00C03359">
        <w:rPr>
          <w:rFonts w:ascii="Arial" w:hAnsi="Arial" w:cs="Arial"/>
        </w:rPr>
        <w:t>IE</w:t>
      </w:r>
      <w:r w:rsidRPr="00896808">
        <w:rPr>
          <w:rFonts w:ascii="Arial" w:hAnsi="Arial" w:cs="Arial"/>
        </w:rPr>
        <w:t>M 2021–2027 constituye el documento rector de la política pública estatal, del cual emanan los programas sectoriales, regionales y especiales que orientan el destino del gasto.</w:t>
      </w:r>
    </w:p>
    <w:p w14:paraId="61FBE499" w14:textId="77777777" w:rsidR="005E4BC1" w:rsidRPr="00896808" w:rsidRDefault="005E4BC1" w:rsidP="00D60720">
      <w:pPr>
        <w:spacing w:line="360" w:lineRule="auto"/>
        <w:jc w:val="both"/>
        <w:rPr>
          <w:rFonts w:ascii="Arial" w:hAnsi="Arial" w:cs="Arial"/>
        </w:rPr>
      </w:pPr>
    </w:p>
    <w:p w14:paraId="509B285E" w14:textId="59DC3B0A" w:rsidR="00766B66" w:rsidRDefault="00865ACC" w:rsidP="00D60720">
      <w:pPr>
        <w:spacing w:line="360" w:lineRule="auto"/>
        <w:jc w:val="both"/>
        <w:rPr>
          <w:rFonts w:ascii="Arial" w:hAnsi="Arial" w:cs="Arial"/>
        </w:rPr>
      </w:pPr>
      <w:r w:rsidRPr="00865ACC">
        <w:rPr>
          <w:rFonts w:ascii="Arial" w:hAnsi="Arial" w:cs="Arial"/>
        </w:rPr>
        <w:t>Cada Unidad Programática Presupuestaria (UPP) elaboró su Programa Operativo Anual (POA), en congruencia con los ejes y estrategias del PLAD</w:t>
      </w:r>
      <w:r w:rsidR="00C03359">
        <w:rPr>
          <w:rFonts w:ascii="Arial" w:hAnsi="Arial" w:cs="Arial"/>
        </w:rPr>
        <w:t>IEM</w:t>
      </w:r>
      <w:r w:rsidRPr="00865ACC">
        <w:rPr>
          <w:rFonts w:ascii="Arial" w:hAnsi="Arial" w:cs="Arial"/>
        </w:rPr>
        <w:t>, así como con su respectiva Matriz de Indicadores de Resultados (MIR).</w:t>
      </w:r>
    </w:p>
    <w:p w14:paraId="5AA1645E" w14:textId="77777777" w:rsidR="005E4BC1" w:rsidRDefault="005E4BC1" w:rsidP="00D60720">
      <w:pPr>
        <w:spacing w:line="360" w:lineRule="auto"/>
        <w:jc w:val="both"/>
        <w:rPr>
          <w:rFonts w:ascii="Arial" w:hAnsi="Arial" w:cs="Arial"/>
        </w:rPr>
      </w:pPr>
    </w:p>
    <w:p w14:paraId="6D9ACBFE" w14:textId="318EDC03" w:rsidR="00865ACC" w:rsidRDefault="00865ACC" w:rsidP="00D60720">
      <w:pPr>
        <w:spacing w:line="360" w:lineRule="auto"/>
        <w:jc w:val="both"/>
        <w:rPr>
          <w:rFonts w:ascii="Arial" w:hAnsi="Arial" w:cs="Arial"/>
        </w:rPr>
      </w:pPr>
      <w:r w:rsidRPr="00865ACC">
        <w:rPr>
          <w:rFonts w:ascii="Arial" w:hAnsi="Arial" w:cs="Arial"/>
        </w:rPr>
        <w:t>Estos instrumentos aseguran que el gasto público esté dirigido a resultados concretos, medibles y verificables, bajo la metodología del Presupuesto Basado en Resultados (PbR) y el Sistema de Evaluación del Desempeño (SED), ambos supervisados por la Coordinación de Planeación para el Desarrollo del Estado (CPLADEM).</w:t>
      </w:r>
    </w:p>
    <w:p w14:paraId="5FECC7FA" w14:textId="77777777" w:rsidR="005E4BC1" w:rsidRDefault="005E4BC1" w:rsidP="00D60720">
      <w:pPr>
        <w:spacing w:line="360" w:lineRule="auto"/>
        <w:jc w:val="both"/>
        <w:rPr>
          <w:rFonts w:ascii="Arial" w:hAnsi="Arial" w:cs="Arial"/>
        </w:rPr>
      </w:pPr>
    </w:p>
    <w:p w14:paraId="4B82FCEB" w14:textId="000086C5" w:rsidR="0093626F" w:rsidRDefault="00C971EC" w:rsidP="00D60720">
      <w:pPr>
        <w:spacing w:line="360" w:lineRule="auto"/>
        <w:jc w:val="both"/>
        <w:rPr>
          <w:rFonts w:ascii="Arial" w:hAnsi="Arial" w:cs="Arial"/>
        </w:rPr>
      </w:pPr>
      <w:r w:rsidRPr="0093626F">
        <w:rPr>
          <w:rFonts w:ascii="Arial" w:hAnsi="Arial" w:cs="Arial"/>
        </w:rPr>
        <w:t>Se mantiene la estructura de</w:t>
      </w:r>
      <w:r w:rsidR="00006F17">
        <w:rPr>
          <w:rFonts w:ascii="Arial" w:hAnsi="Arial" w:cs="Arial"/>
        </w:rPr>
        <w:t>l</w:t>
      </w:r>
      <w:r w:rsidRPr="0093626F">
        <w:rPr>
          <w:rFonts w:ascii="Arial" w:hAnsi="Arial" w:cs="Arial"/>
        </w:rPr>
        <w:t xml:space="preserve"> PbR y el SED, integrando 1</w:t>
      </w:r>
      <w:r w:rsidR="00F27B76">
        <w:rPr>
          <w:rFonts w:ascii="Arial" w:hAnsi="Arial" w:cs="Arial"/>
        </w:rPr>
        <w:t>44</w:t>
      </w:r>
      <w:r w:rsidRPr="0093626F">
        <w:rPr>
          <w:rFonts w:ascii="Arial" w:hAnsi="Arial" w:cs="Arial"/>
        </w:rPr>
        <w:t xml:space="preserve"> programas presupuestarios alineados a los ejes del PLADIEM, con énfasis en bienestar, desarrollo económico, infraestructura y gobierno eficiente. Asimismo, se fortalece la perspectiva de género y la transparencia en la programación del gasto.</w:t>
      </w:r>
    </w:p>
    <w:p w14:paraId="1DEF2AE1" w14:textId="77777777" w:rsidR="00D60720" w:rsidRDefault="00D60720" w:rsidP="00D60720">
      <w:pPr>
        <w:spacing w:line="360" w:lineRule="auto"/>
        <w:jc w:val="both"/>
        <w:rPr>
          <w:rFonts w:ascii="Arial" w:eastAsia="Arial" w:hAnsi="Arial" w:cs="Arial"/>
        </w:rPr>
      </w:pPr>
    </w:p>
    <w:p w14:paraId="0145AEEE" w14:textId="1EF451B4" w:rsidR="00096C31" w:rsidRPr="005E4BC1" w:rsidRDefault="00096C31" w:rsidP="00D60720">
      <w:pPr>
        <w:spacing w:line="360" w:lineRule="auto"/>
        <w:jc w:val="both"/>
        <w:rPr>
          <w:rFonts w:ascii="Arial" w:hAnsi="Arial" w:cs="Arial"/>
        </w:rPr>
      </w:pPr>
      <w:r w:rsidRPr="00096C31">
        <w:rPr>
          <w:rFonts w:ascii="Arial" w:eastAsia="Arial" w:hAnsi="Arial" w:cs="Arial"/>
        </w:rPr>
        <w:t xml:space="preserve">A su vez, la metodología del PbR presente en la elaboración del presente proyecto, promueve la transparencia, la rendición de cuentas y la eficiencia en la gestión de recursos, ya que se espera que cada partida presupuestaria contribuya directamente a la consecución de resultados específicos. Al enfocarnos en los resultados, se busca maximizar el impacto de los recursos disponibles en la consecución de los objetivos establecidos. </w:t>
      </w:r>
    </w:p>
    <w:p w14:paraId="4A10BE83" w14:textId="77777777" w:rsidR="00896808" w:rsidRDefault="00896808" w:rsidP="00D60720">
      <w:pPr>
        <w:spacing w:line="360" w:lineRule="auto"/>
        <w:jc w:val="both"/>
        <w:rPr>
          <w:rFonts w:ascii="Arial" w:eastAsia="Calibri" w:hAnsi="Arial" w:cs="Arial"/>
        </w:rPr>
      </w:pPr>
    </w:p>
    <w:p w14:paraId="62CCF06C" w14:textId="77777777" w:rsidR="00896808" w:rsidRDefault="00896808" w:rsidP="00D60720">
      <w:pPr>
        <w:spacing w:line="360" w:lineRule="auto"/>
        <w:jc w:val="both"/>
        <w:rPr>
          <w:rFonts w:ascii="Arial" w:eastAsia="Calibri" w:hAnsi="Arial" w:cs="Arial"/>
        </w:rPr>
      </w:pPr>
      <w:r w:rsidRPr="00896808">
        <w:rPr>
          <w:rFonts w:ascii="Arial" w:eastAsia="Calibri" w:hAnsi="Arial" w:cs="Arial"/>
        </w:rPr>
        <w:t>El Presupuesto de Egresos 2026 se formula en correspondencia con los lineamientos del Paquete Económico Federal 2026, observando las variables macroeconómicas, los criterios de distribución de participaciones y las disposiciones de disciplina financiera.</w:t>
      </w:r>
    </w:p>
    <w:p w14:paraId="525F9781" w14:textId="77777777" w:rsidR="005E4BC1" w:rsidRPr="00896808" w:rsidRDefault="005E4BC1" w:rsidP="00D60720">
      <w:pPr>
        <w:spacing w:line="360" w:lineRule="auto"/>
        <w:jc w:val="both"/>
        <w:rPr>
          <w:rFonts w:ascii="Arial" w:eastAsia="Calibri" w:hAnsi="Arial" w:cs="Arial"/>
        </w:rPr>
      </w:pPr>
    </w:p>
    <w:p w14:paraId="0CB134FB" w14:textId="30E5D690" w:rsidR="00896808" w:rsidRPr="00896808" w:rsidRDefault="00896808" w:rsidP="00D60720">
      <w:pPr>
        <w:spacing w:line="360" w:lineRule="auto"/>
        <w:jc w:val="both"/>
        <w:rPr>
          <w:rFonts w:ascii="Arial" w:eastAsia="Calibri" w:hAnsi="Arial" w:cs="Arial"/>
        </w:rPr>
      </w:pPr>
      <w:r w:rsidRPr="00896808">
        <w:rPr>
          <w:rFonts w:ascii="Arial" w:eastAsia="Calibri" w:hAnsi="Arial" w:cs="Arial"/>
        </w:rPr>
        <w:t>La Secretaría de Finanzas y Administración ha mantenido coordinación permanente con la Secretaría de Hacienda y Crédito Público</w:t>
      </w:r>
      <w:r w:rsidR="00006F17">
        <w:rPr>
          <w:rFonts w:ascii="Arial" w:eastAsia="Calibri" w:hAnsi="Arial" w:cs="Arial"/>
        </w:rPr>
        <w:t xml:space="preserve"> (SHCP)</w:t>
      </w:r>
      <w:r w:rsidRPr="00896808">
        <w:rPr>
          <w:rFonts w:ascii="Arial" w:eastAsia="Calibri" w:hAnsi="Arial" w:cs="Arial"/>
        </w:rPr>
        <w:t xml:space="preserve"> y la Unidad de Coordinación con Entidades Federativas (UCEF), a fin de garantizar la armonización entre la política fiscal nacional y el marco presupuestario estatal.</w:t>
      </w:r>
    </w:p>
    <w:p w14:paraId="6EEF9683" w14:textId="142065AE" w:rsidR="00096C31" w:rsidRPr="00896808" w:rsidRDefault="00096C31" w:rsidP="00D60720">
      <w:pPr>
        <w:pStyle w:val="Ttulo3"/>
        <w:spacing w:before="0" w:line="360" w:lineRule="auto"/>
        <w:jc w:val="both"/>
        <w:rPr>
          <w:rFonts w:ascii="Arial" w:hAnsi="Arial" w:cs="Arial"/>
        </w:rPr>
      </w:pPr>
    </w:p>
    <w:p w14:paraId="79F8B6FA" w14:textId="2345366B" w:rsidR="00896808" w:rsidRDefault="00896808" w:rsidP="00D60720">
      <w:pPr>
        <w:spacing w:line="360" w:lineRule="auto"/>
        <w:jc w:val="both"/>
        <w:rPr>
          <w:rFonts w:ascii="Arial" w:hAnsi="Arial" w:cs="Arial"/>
          <w:b/>
          <w:bCs/>
          <w:lang w:val="es-ES" w:eastAsia="es-ES"/>
        </w:rPr>
      </w:pPr>
      <w:r w:rsidRPr="00896808">
        <w:rPr>
          <w:rFonts w:ascii="Arial" w:hAnsi="Arial" w:cs="Arial"/>
          <w:b/>
          <w:bCs/>
          <w:lang w:val="es-ES" w:eastAsia="es-ES"/>
        </w:rPr>
        <w:t xml:space="preserve">Principales variables </w:t>
      </w:r>
      <w:r w:rsidR="009654EE">
        <w:rPr>
          <w:rFonts w:ascii="Arial" w:hAnsi="Arial" w:cs="Arial"/>
          <w:b/>
          <w:bCs/>
          <w:lang w:val="es-ES" w:eastAsia="es-ES"/>
        </w:rPr>
        <w:t>m</w:t>
      </w:r>
      <w:r w:rsidRPr="00896808">
        <w:rPr>
          <w:rFonts w:ascii="Arial" w:hAnsi="Arial" w:cs="Arial"/>
          <w:b/>
          <w:bCs/>
          <w:lang w:val="es-ES" w:eastAsia="es-ES"/>
        </w:rPr>
        <w:t>acroeconómicas 202</w:t>
      </w:r>
      <w:r>
        <w:rPr>
          <w:rFonts w:ascii="Arial" w:hAnsi="Arial" w:cs="Arial"/>
          <w:b/>
          <w:bCs/>
          <w:lang w:val="es-ES" w:eastAsia="es-ES"/>
        </w:rPr>
        <w:t>5</w:t>
      </w:r>
      <w:r w:rsidRPr="00896808">
        <w:rPr>
          <w:rFonts w:ascii="Arial" w:hAnsi="Arial" w:cs="Arial"/>
          <w:b/>
          <w:bCs/>
          <w:lang w:val="es-ES" w:eastAsia="es-ES"/>
        </w:rPr>
        <w:t>-202</w:t>
      </w:r>
      <w:r>
        <w:rPr>
          <w:rFonts w:ascii="Arial" w:hAnsi="Arial" w:cs="Arial"/>
          <w:b/>
          <w:bCs/>
          <w:lang w:val="es-ES" w:eastAsia="es-ES"/>
        </w:rPr>
        <w:t>6</w:t>
      </w:r>
    </w:p>
    <w:p w14:paraId="28A1C89F" w14:textId="77777777" w:rsidR="005E4BC1" w:rsidRPr="00896808" w:rsidRDefault="005E4BC1" w:rsidP="00D60720">
      <w:pPr>
        <w:spacing w:line="360" w:lineRule="auto"/>
        <w:jc w:val="both"/>
        <w:rPr>
          <w:rFonts w:ascii="Arial" w:hAnsi="Arial" w:cs="Arial"/>
          <w:b/>
          <w:bCs/>
          <w:lang w:val="es-ES" w:eastAsia="es-ES"/>
        </w:rPr>
      </w:pPr>
    </w:p>
    <w:p w14:paraId="6601F57D" w14:textId="77777777" w:rsidR="00896808" w:rsidRDefault="00896808" w:rsidP="00D60720">
      <w:pPr>
        <w:spacing w:line="360" w:lineRule="auto"/>
        <w:jc w:val="both"/>
        <w:rPr>
          <w:rFonts w:ascii="Arial" w:hAnsi="Arial" w:cs="Arial"/>
        </w:rPr>
      </w:pPr>
      <w:r w:rsidRPr="00896808">
        <w:rPr>
          <w:rFonts w:ascii="Arial" w:hAnsi="Arial" w:cs="Arial"/>
        </w:rPr>
        <w:t>El marco macroeconómico que sustenta el Proyecto de Presupuesto de Egresos del Estado de Michoacán para el Ejercicio Fiscal 2026 se formula en congruencia con las proyecciones contenidas en los Criterios Generales de Política Económica 2026 (CGPE 2026), documento rector del Paquete Económico Federal.</w:t>
      </w:r>
    </w:p>
    <w:p w14:paraId="745D99F5" w14:textId="77777777" w:rsidR="005E4BC1" w:rsidRPr="00896808" w:rsidRDefault="005E4BC1" w:rsidP="00D60720">
      <w:pPr>
        <w:spacing w:line="360" w:lineRule="auto"/>
        <w:jc w:val="both"/>
        <w:rPr>
          <w:rFonts w:ascii="Arial" w:hAnsi="Arial" w:cs="Arial"/>
        </w:rPr>
      </w:pPr>
    </w:p>
    <w:p w14:paraId="7433ADC6" w14:textId="77777777" w:rsidR="00896808" w:rsidRPr="00896808" w:rsidRDefault="00896808" w:rsidP="00D60720">
      <w:pPr>
        <w:spacing w:line="360" w:lineRule="auto"/>
        <w:jc w:val="both"/>
        <w:rPr>
          <w:rFonts w:ascii="Arial" w:hAnsi="Arial" w:cs="Arial"/>
        </w:rPr>
      </w:pPr>
      <w:r w:rsidRPr="00896808">
        <w:rPr>
          <w:rFonts w:ascii="Arial" w:hAnsi="Arial" w:cs="Arial"/>
        </w:rPr>
        <w:t>Dichas variables determinan los supuestos de crecimiento, inflación, tipo de cambio, tasas de interés, precios de petróleo y balance fiscal, que sirven como base para la planeación financiera del país y las entidades federativas.</w:t>
      </w:r>
    </w:p>
    <w:p w14:paraId="4F066A38" w14:textId="77777777" w:rsidR="009654EE" w:rsidRDefault="009654EE" w:rsidP="00D60720">
      <w:pPr>
        <w:spacing w:line="360" w:lineRule="auto"/>
        <w:jc w:val="both"/>
        <w:rPr>
          <w:rFonts w:ascii="Arial" w:hAnsi="Arial" w:cs="Arial"/>
        </w:rPr>
      </w:pPr>
    </w:p>
    <w:p w14:paraId="4D002C82" w14:textId="77777777" w:rsidR="00006F17" w:rsidRDefault="00006F17" w:rsidP="00D60720">
      <w:pPr>
        <w:spacing w:line="360" w:lineRule="auto"/>
        <w:jc w:val="both"/>
        <w:rPr>
          <w:rFonts w:ascii="Arial" w:hAnsi="Arial" w:cs="Arial"/>
        </w:rPr>
      </w:pPr>
    </w:p>
    <w:p w14:paraId="27FB9206" w14:textId="6D392118" w:rsidR="0087581D" w:rsidRDefault="0087581D" w:rsidP="00D60720">
      <w:pPr>
        <w:spacing w:line="360" w:lineRule="auto"/>
        <w:jc w:val="center"/>
        <w:rPr>
          <w:rFonts w:ascii="Arial" w:hAnsi="Arial" w:cs="Arial"/>
          <w:b/>
          <w:bCs/>
        </w:rPr>
      </w:pPr>
      <w:r w:rsidRPr="005E4BC1">
        <w:rPr>
          <w:rFonts w:ascii="Arial" w:hAnsi="Arial" w:cs="Arial"/>
          <w:b/>
          <w:bCs/>
        </w:rPr>
        <w:t>Marco Macroeconómico 2025–2026</w:t>
      </w:r>
    </w:p>
    <w:p w14:paraId="1A6321F3" w14:textId="77777777" w:rsidR="005E4BC1" w:rsidRPr="005E4BC1" w:rsidRDefault="005E4BC1" w:rsidP="00D60720">
      <w:pPr>
        <w:spacing w:line="360" w:lineRule="auto"/>
        <w:jc w:val="center"/>
        <w:rPr>
          <w:rFonts w:ascii="Arial" w:hAnsi="Arial" w:cs="Arial"/>
          <w:b/>
          <w:bC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54"/>
        <w:gridCol w:w="1505"/>
        <w:gridCol w:w="1461"/>
        <w:gridCol w:w="1654"/>
      </w:tblGrid>
      <w:tr w:rsidR="009654EE" w:rsidRPr="005E4BC1" w14:paraId="1B5D3D83" w14:textId="77777777">
        <w:trPr>
          <w:tblHeader/>
          <w:tblCellSpacing w:w="15" w:type="dxa"/>
        </w:trPr>
        <w:tc>
          <w:tcPr>
            <w:tcW w:w="0" w:type="auto"/>
            <w:vAlign w:val="center"/>
            <w:hideMark/>
          </w:tcPr>
          <w:p w14:paraId="45A6540E" w14:textId="77777777" w:rsidR="009654EE" w:rsidRPr="005E4BC1" w:rsidRDefault="009654EE" w:rsidP="00D60720">
            <w:pPr>
              <w:rPr>
                <w:rFonts w:ascii="Arial" w:hAnsi="Arial" w:cs="Arial"/>
                <w:b/>
                <w:bCs/>
                <w:sz w:val="20"/>
                <w:szCs w:val="20"/>
              </w:rPr>
            </w:pPr>
            <w:r w:rsidRPr="005E4BC1">
              <w:rPr>
                <w:rFonts w:ascii="Arial" w:hAnsi="Arial" w:cs="Arial"/>
                <w:b/>
                <w:bCs/>
                <w:sz w:val="20"/>
                <w:szCs w:val="20"/>
              </w:rPr>
              <w:t>Concepto</w:t>
            </w:r>
          </w:p>
        </w:tc>
        <w:tc>
          <w:tcPr>
            <w:tcW w:w="0" w:type="auto"/>
            <w:vAlign w:val="center"/>
            <w:hideMark/>
          </w:tcPr>
          <w:p w14:paraId="18F373B5" w14:textId="77777777" w:rsidR="009654EE" w:rsidRPr="005E4BC1" w:rsidRDefault="009654EE" w:rsidP="00D60720">
            <w:pPr>
              <w:jc w:val="center"/>
              <w:rPr>
                <w:rFonts w:ascii="Arial" w:hAnsi="Arial" w:cs="Arial"/>
                <w:b/>
                <w:bCs/>
                <w:sz w:val="20"/>
                <w:szCs w:val="20"/>
              </w:rPr>
            </w:pPr>
            <w:r w:rsidRPr="005E4BC1">
              <w:rPr>
                <w:rFonts w:ascii="Arial" w:hAnsi="Arial" w:cs="Arial"/>
                <w:b/>
                <w:bCs/>
                <w:sz w:val="20"/>
                <w:szCs w:val="20"/>
              </w:rPr>
              <w:t>Aprobado 2025</w:t>
            </w:r>
          </w:p>
        </w:tc>
        <w:tc>
          <w:tcPr>
            <w:tcW w:w="0" w:type="auto"/>
            <w:vAlign w:val="center"/>
            <w:hideMark/>
          </w:tcPr>
          <w:p w14:paraId="4EAA9954" w14:textId="77777777" w:rsidR="009654EE" w:rsidRPr="005E4BC1" w:rsidRDefault="009654EE" w:rsidP="00D60720">
            <w:pPr>
              <w:jc w:val="center"/>
              <w:rPr>
                <w:rFonts w:ascii="Arial" w:hAnsi="Arial" w:cs="Arial"/>
                <w:b/>
                <w:bCs/>
                <w:sz w:val="20"/>
                <w:szCs w:val="20"/>
              </w:rPr>
            </w:pPr>
            <w:r w:rsidRPr="005E4BC1">
              <w:rPr>
                <w:rFonts w:ascii="Arial" w:hAnsi="Arial" w:cs="Arial"/>
                <w:b/>
                <w:bCs/>
                <w:sz w:val="20"/>
                <w:szCs w:val="20"/>
              </w:rPr>
              <w:t>Estimado 2025</w:t>
            </w:r>
          </w:p>
        </w:tc>
        <w:tc>
          <w:tcPr>
            <w:tcW w:w="0" w:type="auto"/>
            <w:vAlign w:val="center"/>
            <w:hideMark/>
          </w:tcPr>
          <w:p w14:paraId="01C91CA9" w14:textId="77777777" w:rsidR="009654EE" w:rsidRPr="005E4BC1" w:rsidRDefault="009654EE" w:rsidP="00D60720">
            <w:pPr>
              <w:jc w:val="center"/>
              <w:rPr>
                <w:rFonts w:ascii="Arial" w:hAnsi="Arial" w:cs="Arial"/>
                <w:b/>
                <w:bCs/>
                <w:sz w:val="20"/>
                <w:szCs w:val="20"/>
              </w:rPr>
            </w:pPr>
            <w:r w:rsidRPr="005E4BC1">
              <w:rPr>
                <w:rFonts w:ascii="Arial" w:hAnsi="Arial" w:cs="Arial"/>
                <w:b/>
                <w:bCs/>
                <w:sz w:val="20"/>
                <w:szCs w:val="20"/>
              </w:rPr>
              <w:t>Proyección 2026</w:t>
            </w:r>
          </w:p>
        </w:tc>
      </w:tr>
      <w:tr w:rsidR="009654EE" w:rsidRPr="005E4BC1" w14:paraId="73CF1C6A" w14:textId="77777777">
        <w:trPr>
          <w:tblCellSpacing w:w="15" w:type="dxa"/>
        </w:trPr>
        <w:tc>
          <w:tcPr>
            <w:tcW w:w="0" w:type="auto"/>
            <w:vAlign w:val="center"/>
            <w:hideMark/>
          </w:tcPr>
          <w:p w14:paraId="630D9452" w14:textId="77777777" w:rsidR="009654EE" w:rsidRPr="005E4BC1" w:rsidRDefault="009654EE" w:rsidP="00D60720">
            <w:pPr>
              <w:rPr>
                <w:rFonts w:ascii="Arial" w:hAnsi="Arial" w:cs="Arial"/>
                <w:sz w:val="20"/>
                <w:szCs w:val="20"/>
              </w:rPr>
            </w:pPr>
            <w:r w:rsidRPr="005E4BC1">
              <w:rPr>
                <w:rFonts w:ascii="Arial" w:hAnsi="Arial" w:cs="Arial"/>
                <w:b/>
                <w:bCs/>
                <w:sz w:val="20"/>
                <w:szCs w:val="20"/>
              </w:rPr>
              <w:t>Producto Interno Bruto (PIB)</w:t>
            </w:r>
          </w:p>
        </w:tc>
        <w:tc>
          <w:tcPr>
            <w:tcW w:w="0" w:type="auto"/>
            <w:vAlign w:val="center"/>
            <w:hideMark/>
          </w:tcPr>
          <w:p w14:paraId="1AFFF472" w14:textId="77777777" w:rsidR="009654EE" w:rsidRPr="005E4BC1" w:rsidRDefault="009654EE" w:rsidP="00D60720">
            <w:pPr>
              <w:rPr>
                <w:rFonts w:ascii="Arial" w:hAnsi="Arial" w:cs="Arial"/>
                <w:sz w:val="20"/>
                <w:szCs w:val="20"/>
              </w:rPr>
            </w:pPr>
          </w:p>
        </w:tc>
        <w:tc>
          <w:tcPr>
            <w:tcW w:w="0" w:type="auto"/>
            <w:vAlign w:val="center"/>
            <w:hideMark/>
          </w:tcPr>
          <w:p w14:paraId="6851670B" w14:textId="77777777" w:rsidR="009654EE" w:rsidRPr="005E4BC1" w:rsidRDefault="009654EE" w:rsidP="00D60720">
            <w:pPr>
              <w:jc w:val="center"/>
              <w:rPr>
                <w:rFonts w:ascii="Arial" w:hAnsi="Arial" w:cs="Arial"/>
                <w:sz w:val="20"/>
                <w:szCs w:val="20"/>
              </w:rPr>
            </w:pPr>
          </w:p>
        </w:tc>
        <w:tc>
          <w:tcPr>
            <w:tcW w:w="0" w:type="auto"/>
            <w:vAlign w:val="center"/>
            <w:hideMark/>
          </w:tcPr>
          <w:p w14:paraId="15EB0297" w14:textId="77777777" w:rsidR="009654EE" w:rsidRPr="005E4BC1" w:rsidRDefault="009654EE" w:rsidP="00D60720">
            <w:pPr>
              <w:jc w:val="center"/>
              <w:rPr>
                <w:rFonts w:ascii="Arial" w:hAnsi="Arial" w:cs="Arial"/>
                <w:sz w:val="20"/>
                <w:szCs w:val="20"/>
              </w:rPr>
            </w:pPr>
          </w:p>
        </w:tc>
      </w:tr>
      <w:tr w:rsidR="009654EE" w:rsidRPr="005E4BC1" w14:paraId="1553B247" w14:textId="77777777">
        <w:trPr>
          <w:tblCellSpacing w:w="15" w:type="dxa"/>
        </w:trPr>
        <w:tc>
          <w:tcPr>
            <w:tcW w:w="0" w:type="auto"/>
            <w:vAlign w:val="center"/>
            <w:hideMark/>
          </w:tcPr>
          <w:p w14:paraId="6B820C3C" w14:textId="77777777" w:rsidR="009654EE" w:rsidRPr="005E4BC1" w:rsidRDefault="009654EE" w:rsidP="00D60720">
            <w:pPr>
              <w:rPr>
                <w:rFonts w:ascii="Arial" w:hAnsi="Arial" w:cs="Arial"/>
                <w:sz w:val="20"/>
                <w:szCs w:val="20"/>
              </w:rPr>
            </w:pPr>
            <w:r w:rsidRPr="005E4BC1">
              <w:rPr>
                <w:rFonts w:ascii="Arial" w:hAnsi="Arial" w:cs="Arial"/>
                <w:sz w:val="20"/>
                <w:szCs w:val="20"/>
              </w:rPr>
              <w:t>Crecimiento % real (rango)</w:t>
            </w:r>
          </w:p>
        </w:tc>
        <w:tc>
          <w:tcPr>
            <w:tcW w:w="0" w:type="auto"/>
            <w:vAlign w:val="center"/>
            <w:hideMark/>
          </w:tcPr>
          <w:p w14:paraId="771C5234"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[2.0, 3.0]</w:t>
            </w:r>
          </w:p>
        </w:tc>
        <w:tc>
          <w:tcPr>
            <w:tcW w:w="0" w:type="auto"/>
            <w:vAlign w:val="center"/>
            <w:hideMark/>
          </w:tcPr>
          <w:p w14:paraId="148A9133"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[0.5, 1.5]</w:t>
            </w:r>
          </w:p>
        </w:tc>
        <w:tc>
          <w:tcPr>
            <w:tcW w:w="0" w:type="auto"/>
            <w:vAlign w:val="center"/>
            <w:hideMark/>
          </w:tcPr>
          <w:p w14:paraId="22F11231"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[1.8, 2.8]</w:t>
            </w:r>
          </w:p>
        </w:tc>
      </w:tr>
      <w:tr w:rsidR="009654EE" w:rsidRPr="005E4BC1" w14:paraId="6D367086" w14:textId="77777777">
        <w:trPr>
          <w:tblCellSpacing w:w="15" w:type="dxa"/>
        </w:trPr>
        <w:tc>
          <w:tcPr>
            <w:tcW w:w="0" w:type="auto"/>
            <w:vAlign w:val="center"/>
            <w:hideMark/>
          </w:tcPr>
          <w:p w14:paraId="46EB046A" w14:textId="77777777" w:rsidR="009654EE" w:rsidRPr="005E4BC1" w:rsidRDefault="009654EE" w:rsidP="00D60720">
            <w:pPr>
              <w:rPr>
                <w:rFonts w:ascii="Arial" w:hAnsi="Arial" w:cs="Arial"/>
                <w:sz w:val="20"/>
                <w:szCs w:val="20"/>
              </w:rPr>
            </w:pPr>
            <w:r w:rsidRPr="005E4BC1">
              <w:rPr>
                <w:rFonts w:ascii="Arial" w:hAnsi="Arial" w:cs="Arial"/>
                <w:sz w:val="20"/>
                <w:szCs w:val="20"/>
              </w:rPr>
              <w:t>Nominal (miles de millones de pesos)</w:t>
            </w:r>
          </w:p>
        </w:tc>
        <w:tc>
          <w:tcPr>
            <w:tcW w:w="0" w:type="auto"/>
            <w:vAlign w:val="center"/>
            <w:hideMark/>
          </w:tcPr>
          <w:p w14:paraId="4115404F"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36 166.4</w:t>
            </w:r>
          </w:p>
        </w:tc>
        <w:tc>
          <w:tcPr>
            <w:tcW w:w="0" w:type="auto"/>
            <w:vAlign w:val="center"/>
            <w:hideMark/>
          </w:tcPr>
          <w:p w14:paraId="6750DC75"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36 125.5</w:t>
            </w:r>
          </w:p>
        </w:tc>
        <w:tc>
          <w:tcPr>
            <w:tcW w:w="0" w:type="auto"/>
            <w:vAlign w:val="center"/>
            <w:hideMark/>
          </w:tcPr>
          <w:p w14:paraId="24265277"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38 715.9</w:t>
            </w:r>
          </w:p>
        </w:tc>
      </w:tr>
      <w:tr w:rsidR="009654EE" w:rsidRPr="005E4BC1" w14:paraId="18657756" w14:textId="77777777">
        <w:trPr>
          <w:tblCellSpacing w:w="15" w:type="dxa"/>
        </w:trPr>
        <w:tc>
          <w:tcPr>
            <w:tcW w:w="0" w:type="auto"/>
            <w:vAlign w:val="center"/>
            <w:hideMark/>
          </w:tcPr>
          <w:p w14:paraId="5C87C7F4" w14:textId="77777777" w:rsidR="009654EE" w:rsidRPr="005E4BC1" w:rsidRDefault="009654EE" w:rsidP="00D60720">
            <w:pPr>
              <w:rPr>
                <w:rFonts w:ascii="Arial" w:hAnsi="Arial" w:cs="Arial"/>
                <w:sz w:val="20"/>
                <w:szCs w:val="20"/>
              </w:rPr>
            </w:pPr>
            <w:r w:rsidRPr="005E4BC1">
              <w:rPr>
                <w:rFonts w:ascii="Arial" w:hAnsi="Arial" w:cs="Arial"/>
                <w:sz w:val="20"/>
                <w:szCs w:val="20"/>
              </w:rPr>
              <w:t>Deflactor del PIB (%)</w:t>
            </w:r>
          </w:p>
        </w:tc>
        <w:tc>
          <w:tcPr>
            <w:tcW w:w="0" w:type="auto"/>
            <w:vAlign w:val="center"/>
            <w:hideMark/>
          </w:tcPr>
          <w:p w14:paraId="600EBE78"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4.3</w:t>
            </w:r>
          </w:p>
        </w:tc>
        <w:tc>
          <w:tcPr>
            <w:tcW w:w="0" w:type="auto"/>
            <w:vAlign w:val="center"/>
            <w:hideMark/>
          </w:tcPr>
          <w:p w14:paraId="30ADF1D6"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5.2</w:t>
            </w:r>
          </w:p>
        </w:tc>
        <w:tc>
          <w:tcPr>
            <w:tcW w:w="0" w:type="auto"/>
            <w:vAlign w:val="center"/>
            <w:hideMark/>
          </w:tcPr>
          <w:p w14:paraId="1C237C55"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4.8</w:t>
            </w:r>
          </w:p>
        </w:tc>
      </w:tr>
      <w:tr w:rsidR="009654EE" w:rsidRPr="005E4BC1" w14:paraId="28B96685" w14:textId="77777777">
        <w:trPr>
          <w:tblCellSpacing w:w="15" w:type="dxa"/>
        </w:trPr>
        <w:tc>
          <w:tcPr>
            <w:tcW w:w="0" w:type="auto"/>
            <w:vAlign w:val="center"/>
            <w:hideMark/>
          </w:tcPr>
          <w:p w14:paraId="079FE966" w14:textId="77777777" w:rsidR="009654EE" w:rsidRPr="005E4BC1" w:rsidRDefault="009654EE" w:rsidP="00D60720">
            <w:pPr>
              <w:rPr>
                <w:rFonts w:ascii="Arial" w:hAnsi="Arial" w:cs="Arial"/>
                <w:sz w:val="20"/>
                <w:szCs w:val="20"/>
              </w:rPr>
            </w:pPr>
            <w:r w:rsidRPr="005E4BC1">
              <w:rPr>
                <w:rFonts w:ascii="Arial" w:hAnsi="Arial" w:cs="Arial"/>
                <w:b/>
                <w:bCs/>
                <w:sz w:val="20"/>
                <w:szCs w:val="20"/>
              </w:rPr>
              <w:t>Inflación (%)</w:t>
            </w:r>
          </w:p>
        </w:tc>
        <w:tc>
          <w:tcPr>
            <w:tcW w:w="0" w:type="auto"/>
            <w:vAlign w:val="center"/>
            <w:hideMark/>
          </w:tcPr>
          <w:p w14:paraId="1CC9A8A7" w14:textId="77777777" w:rsidR="009654EE" w:rsidRPr="005E4BC1" w:rsidRDefault="009654EE" w:rsidP="00D60720">
            <w:pPr>
              <w:rPr>
                <w:rFonts w:ascii="Arial" w:hAnsi="Arial" w:cs="Arial"/>
                <w:sz w:val="20"/>
                <w:szCs w:val="20"/>
              </w:rPr>
            </w:pPr>
          </w:p>
        </w:tc>
        <w:tc>
          <w:tcPr>
            <w:tcW w:w="0" w:type="auto"/>
            <w:vAlign w:val="center"/>
            <w:hideMark/>
          </w:tcPr>
          <w:p w14:paraId="7F57C3CA" w14:textId="77777777" w:rsidR="009654EE" w:rsidRPr="005E4BC1" w:rsidRDefault="009654EE" w:rsidP="00D60720">
            <w:pPr>
              <w:jc w:val="center"/>
              <w:rPr>
                <w:rFonts w:ascii="Arial" w:hAnsi="Arial" w:cs="Arial"/>
                <w:sz w:val="20"/>
                <w:szCs w:val="20"/>
              </w:rPr>
            </w:pPr>
          </w:p>
        </w:tc>
        <w:tc>
          <w:tcPr>
            <w:tcW w:w="0" w:type="auto"/>
            <w:vAlign w:val="center"/>
            <w:hideMark/>
          </w:tcPr>
          <w:p w14:paraId="64FF1444" w14:textId="77777777" w:rsidR="009654EE" w:rsidRPr="005E4BC1" w:rsidRDefault="009654EE" w:rsidP="00D60720">
            <w:pPr>
              <w:jc w:val="center"/>
              <w:rPr>
                <w:rFonts w:ascii="Arial" w:hAnsi="Arial" w:cs="Arial"/>
                <w:sz w:val="20"/>
                <w:szCs w:val="20"/>
              </w:rPr>
            </w:pPr>
          </w:p>
        </w:tc>
      </w:tr>
      <w:tr w:rsidR="009654EE" w:rsidRPr="005E4BC1" w14:paraId="422BCBA4" w14:textId="77777777">
        <w:trPr>
          <w:tblCellSpacing w:w="15" w:type="dxa"/>
        </w:trPr>
        <w:tc>
          <w:tcPr>
            <w:tcW w:w="0" w:type="auto"/>
            <w:vAlign w:val="center"/>
            <w:hideMark/>
          </w:tcPr>
          <w:p w14:paraId="6B9ED2C8" w14:textId="77777777" w:rsidR="009654EE" w:rsidRPr="005E4BC1" w:rsidRDefault="009654EE" w:rsidP="00D60720">
            <w:pPr>
              <w:rPr>
                <w:rFonts w:ascii="Arial" w:hAnsi="Arial" w:cs="Arial"/>
                <w:sz w:val="20"/>
                <w:szCs w:val="20"/>
              </w:rPr>
            </w:pPr>
            <w:r w:rsidRPr="005E4BC1">
              <w:rPr>
                <w:rFonts w:ascii="Arial" w:hAnsi="Arial" w:cs="Arial"/>
                <w:sz w:val="20"/>
                <w:szCs w:val="20"/>
              </w:rPr>
              <w:t>Diciembre / diciembre</w:t>
            </w:r>
          </w:p>
        </w:tc>
        <w:tc>
          <w:tcPr>
            <w:tcW w:w="0" w:type="auto"/>
            <w:vAlign w:val="center"/>
            <w:hideMark/>
          </w:tcPr>
          <w:p w14:paraId="47093406"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3.5</w:t>
            </w:r>
          </w:p>
        </w:tc>
        <w:tc>
          <w:tcPr>
            <w:tcW w:w="0" w:type="auto"/>
            <w:vAlign w:val="center"/>
            <w:hideMark/>
          </w:tcPr>
          <w:p w14:paraId="471D9D46"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3.8</w:t>
            </w:r>
          </w:p>
        </w:tc>
        <w:tc>
          <w:tcPr>
            <w:tcW w:w="0" w:type="auto"/>
            <w:vAlign w:val="center"/>
            <w:hideMark/>
          </w:tcPr>
          <w:p w14:paraId="56277120"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3.0</w:t>
            </w:r>
          </w:p>
        </w:tc>
      </w:tr>
      <w:tr w:rsidR="009654EE" w:rsidRPr="005E4BC1" w14:paraId="40F961BD" w14:textId="77777777">
        <w:trPr>
          <w:tblCellSpacing w:w="15" w:type="dxa"/>
        </w:trPr>
        <w:tc>
          <w:tcPr>
            <w:tcW w:w="0" w:type="auto"/>
            <w:vAlign w:val="center"/>
            <w:hideMark/>
          </w:tcPr>
          <w:p w14:paraId="25302573" w14:textId="77777777" w:rsidR="009654EE" w:rsidRPr="005E4BC1" w:rsidRDefault="009654EE" w:rsidP="00D60720">
            <w:pPr>
              <w:rPr>
                <w:rFonts w:ascii="Arial" w:hAnsi="Arial" w:cs="Arial"/>
                <w:sz w:val="20"/>
                <w:szCs w:val="20"/>
              </w:rPr>
            </w:pPr>
            <w:r w:rsidRPr="005E4BC1">
              <w:rPr>
                <w:rFonts w:ascii="Arial" w:hAnsi="Arial" w:cs="Arial"/>
                <w:sz w:val="20"/>
                <w:szCs w:val="20"/>
              </w:rPr>
              <w:t>Promedio</w:t>
            </w:r>
          </w:p>
        </w:tc>
        <w:tc>
          <w:tcPr>
            <w:tcW w:w="0" w:type="auto"/>
            <w:vAlign w:val="center"/>
            <w:hideMark/>
          </w:tcPr>
          <w:p w14:paraId="43198292"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3.8</w:t>
            </w:r>
          </w:p>
        </w:tc>
        <w:tc>
          <w:tcPr>
            <w:tcW w:w="0" w:type="auto"/>
            <w:vAlign w:val="center"/>
            <w:hideMark/>
          </w:tcPr>
          <w:p w14:paraId="44B2F40E"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4.2</w:t>
            </w:r>
          </w:p>
        </w:tc>
        <w:tc>
          <w:tcPr>
            <w:tcW w:w="0" w:type="auto"/>
            <w:vAlign w:val="center"/>
            <w:hideMark/>
          </w:tcPr>
          <w:p w14:paraId="20498ED6"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3.5</w:t>
            </w:r>
          </w:p>
        </w:tc>
      </w:tr>
      <w:tr w:rsidR="009654EE" w:rsidRPr="005E4BC1" w14:paraId="760344B5" w14:textId="77777777">
        <w:trPr>
          <w:tblCellSpacing w:w="15" w:type="dxa"/>
        </w:trPr>
        <w:tc>
          <w:tcPr>
            <w:tcW w:w="0" w:type="auto"/>
            <w:vAlign w:val="center"/>
            <w:hideMark/>
          </w:tcPr>
          <w:p w14:paraId="3A2759C4" w14:textId="77777777" w:rsidR="009654EE" w:rsidRPr="005E4BC1" w:rsidRDefault="009654EE" w:rsidP="00D60720">
            <w:pPr>
              <w:rPr>
                <w:rFonts w:ascii="Arial" w:hAnsi="Arial" w:cs="Arial"/>
                <w:sz w:val="20"/>
                <w:szCs w:val="20"/>
              </w:rPr>
            </w:pPr>
            <w:r w:rsidRPr="005E4BC1">
              <w:rPr>
                <w:rFonts w:ascii="Arial" w:hAnsi="Arial" w:cs="Arial"/>
                <w:b/>
                <w:bCs/>
                <w:sz w:val="20"/>
                <w:szCs w:val="20"/>
              </w:rPr>
              <w:t>Tipo de cambio nominal (pesos por dólar)</w:t>
            </w:r>
          </w:p>
        </w:tc>
        <w:tc>
          <w:tcPr>
            <w:tcW w:w="0" w:type="auto"/>
            <w:vAlign w:val="center"/>
            <w:hideMark/>
          </w:tcPr>
          <w:p w14:paraId="12AB8055" w14:textId="77777777" w:rsidR="009654EE" w:rsidRPr="005E4BC1" w:rsidRDefault="009654EE" w:rsidP="00D60720">
            <w:pPr>
              <w:rPr>
                <w:rFonts w:ascii="Arial" w:hAnsi="Arial" w:cs="Arial"/>
                <w:sz w:val="20"/>
                <w:szCs w:val="20"/>
              </w:rPr>
            </w:pPr>
          </w:p>
        </w:tc>
        <w:tc>
          <w:tcPr>
            <w:tcW w:w="0" w:type="auto"/>
            <w:vAlign w:val="center"/>
            <w:hideMark/>
          </w:tcPr>
          <w:p w14:paraId="58670555" w14:textId="77777777" w:rsidR="009654EE" w:rsidRPr="005E4BC1" w:rsidRDefault="009654EE" w:rsidP="00D60720">
            <w:pPr>
              <w:jc w:val="center"/>
              <w:rPr>
                <w:rFonts w:ascii="Arial" w:hAnsi="Arial" w:cs="Arial"/>
                <w:sz w:val="20"/>
                <w:szCs w:val="20"/>
              </w:rPr>
            </w:pPr>
          </w:p>
        </w:tc>
        <w:tc>
          <w:tcPr>
            <w:tcW w:w="0" w:type="auto"/>
            <w:vAlign w:val="center"/>
            <w:hideMark/>
          </w:tcPr>
          <w:p w14:paraId="03448086" w14:textId="77777777" w:rsidR="009654EE" w:rsidRPr="005E4BC1" w:rsidRDefault="009654EE" w:rsidP="00D60720">
            <w:pPr>
              <w:jc w:val="center"/>
              <w:rPr>
                <w:rFonts w:ascii="Arial" w:hAnsi="Arial" w:cs="Arial"/>
                <w:sz w:val="20"/>
                <w:szCs w:val="20"/>
              </w:rPr>
            </w:pPr>
          </w:p>
        </w:tc>
      </w:tr>
      <w:tr w:rsidR="009654EE" w:rsidRPr="005E4BC1" w14:paraId="1E4A04D6" w14:textId="77777777">
        <w:trPr>
          <w:tblCellSpacing w:w="15" w:type="dxa"/>
        </w:trPr>
        <w:tc>
          <w:tcPr>
            <w:tcW w:w="0" w:type="auto"/>
            <w:vAlign w:val="center"/>
            <w:hideMark/>
          </w:tcPr>
          <w:p w14:paraId="766FBE27" w14:textId="77777777" w:rsidR="009654EE" w:rsidRPr="005E4BC1" w:rsidRDefault="009654EE" w:rsidP="00D60720">
            <w:pPr>
              <w:rPr>
                <w:rFonts w:ascii="Arial" w:hAnsi="Arial" w:cs="Arial"/>
                <w:sz w:val="20"/>
                <w:szCs w:val="20"/>
              </w:rPr>
            </w:pPr>
            <w:r w:rsidRPr="005E4BC1">
              <w:rPr>
                <w:rFonts w:ascii="Arial" w:hAnsi="Arial" w:cs="Arial"/>
                <w:sz w:val="20"/>
                <w:szCs w:val="20"/>
              </w:rPr>
              <w:t>Fin del periodo</w:t>
            </w:r>
          </w:p>
        </w:tc>
        <w:tc>
          <w:tcPr>
            <w:tcW w:w="0" w:type="auto"/>
            <w:vAlign w:val="center"/>
            <w:hideMark/>
          </w:tcPr>
          <w:p w14:paraId="37DECC63"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18.5</w:t>
            </w:r>
          </w:p>
        </w:tc>
        <w:tc>
          <w:tcPr>
            <w:tcW w:w="0" w:type="auto"/>
            <w:vAlign w:val="center"/>
            <w:hideMark/>
          </w:tcPr>
          <w:p w14:paraId="7953D34B"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19.9</w:t>
            </w:r>
          </w:p>
        </w:tc>
        <w:tc>
          <w:tcPr>
            <w:tcW w:w="0" w:type="auto"/>
            <w:vAlign w:val="center"/>
            <w:hideMark/>
          </w:tcPr>
          <w:p w14:paraId="1FDDE294"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18.9</w:t>
            </w:r>
          </w:p>
        </w:tc>
      </w:tr>
      <w:tr w:rsidR="009654EE" w:rsidRPr="005E4BC1" w14:paraId="71A0896D" w14:textId="77777777">
        <w:trPr>
          <w:tblCellSpacing w:w="15" w:type="dxa"/>
        </w:trPr>
        <w:tc>
          <w:tcPr>
            <w:tcW w:w="0" w:type="auto"/>
            <w:vAlign w:val="center"/>
            <w:hideMark/>
          </w:tcPr>
          <w:p w14:paraId="18A83AA5" w14:textId="77777777" w:rsidR="009654EE" w:rsidRPr="005E4BC1" w:rsidRDefault="009654EE" w:rsidP="00D60720">
            <w:pPr>
              <w:rPr>
                <w:rFonts w:ascii="Arial" w:hAnsi="Arial" w:cs="Arial"/>
                <w:sz w:val="20"/>
                <w:szCs w:val="20"/>
              </w:rPr>
            </w:pPr>
            <w:r w:rsidRPr="005E4BC1">
              <w:rPr>
                <w:rFonts w:ascii="Arial" w:hAnsi="Arial" w:cs="Arial"/>
                <w:sz w:val="20"/>
                <w:szCs w:val="20"/>
              </w:rPr>
              <w:t>Promedio</w:t>
            </w:r>
          </w:p>
        </w:tc>
        <w:tc>
          <w:tcPr>
            <w:tcW w:w="0" w:type="auto"/>
            <w:vAlign w:val="center"/>
            <w:hideMark/>
          </w:tcPr>
          <w:p w14:paraId="08DE8890"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18.7</w:t>
            </w:r>
          </w:p>
        </w:tc>
        <w:tc>
          <w:tcPr>
            <w:tcW w:w="0" w:type="auto"/>
            <w:vAlign w:val="center"/>
            <w:hideMark/>
          </w:tcPr>
          <w:p w14:paraId="5C29ADC4"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19.6</w:t>
            </w:r>
          </w:p>
        </w:tc>
        <w:tc>
          <w:tcPr>
            <w:tcW w:w="0" w:type="auto"/>
            <w:vAlign w:val="center"/>
            <w:hideMark/>
          </w:tcPr>
          <w:p w14:paraId="45FC0D8C"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19.3</w:t>
            </w:r>
          </w:p>
        </w:tc>
      </w:tr>
      <w:tr w:rsidR="009654EE" w:rsidRPr="005E4BC1" w14:paraId="1E400255" w14:textId="77777777">
        <w:trPr>
          <w:tblCellSpacing w:w="15" w:type="dxa"/>
        </w:trPr>
        <w:tc>
          <w:tcPr>
            <w:tcW w:w="0" w:type="auto"/>
            <w:vAlign w:val="center"/>
            <w:hideMark/>
          </w:tcPr>
          <w:p w14:paraId="36C50512" w14:textId="77777777" w:rsidR="009654EE" w:rsidRPr="005E4BC1" w:rsidRDefault="009654EE" w:rsidP="00D60720">
            <w:pPr>
              <w:rPr>
                <w:rFonts w:ascii="Arial" w:hAnsi="Arial" w:cs="Arial"/>
                <w:sz w:val="20"/>
                <w:szCs w:val="20"/>
              </w:rPr>
            </w:pPr>
            <w:r w:rsidRPr="005E4BC1">
              <w:rPr>
                <w:rFonts w:ascii="Arial" w:hAnsi="Arial" w:cs="Arial"/>
                <w:b/>
                <w:bCs/>
                <w:sz w:val="20"/>
                <w:szCs w:val="20"/>
              </w:rPr>
              <w:t>Tasa de interés (Cetes 28 días, %)</w:t>
            </w:r>
          </w:p>
        </w:tc>
        <w:tc>
          <w:tcPr>
            <w:tcW w:w="0" w:type="auto"/>
            <w:vAlign w:val="center"/>
            <w:hideMark/>
          </w:tcPr>
          <w:p w14:paraId="3F6061B9" w14:textId="77777777" w:rsidR="009654EE" w:rsidRPr="005E4BC1" w:rsidRDefault="009654EE" w:rsidP="00D60720">
            <w:pPr>
              <w:rPr>
                <w:rFonts w:ascii="Arial" w:hAnsi="Arial" w:cs="Arial"/>
                <w:sz w:val="20"/>
                <w:szCs w:val="20"/>
              </w:rPr>
            </w:pPr>
          </w:p>
        </w:tc>
        <w:tc>
          <w:tcPr>
            <w:tcW w:w="0" w:type="auto"/>
            <w:vAlign w:val="center"/>
            <w:hideMark/>
          </w:tcPr>
          <w:p w14:paraId="6F91DC68" w14:textId="77777777" w:rsidR="009654EE" w:rsidRPr="005E4BC1" w:rsidRDefault="009654EE" w:rsidP="00D60720">
            <w:pPr>
              <w:jc w:val="center"/>
              <w:rPr>
                <w:rFonts w:ascii="Arial" w:hAnsi="Arial" w:cs="Arial"/>
                <w:sz w:val="20"/>
                <w:szCs w:val="20"/>
              </w:rPr>
            </w:pPr>
          </w:p>
        </w:tc>
        <w:tc>
          <w:tcPr>
            <w:tcW w:w="0" w:type="auto"/>
            <w:vAlign w:val="center"/>
            <w:hideMark/>
          </w:tcPr>
          <w:p w14:paraId="49C178B1" w14:textId="77777777" w:rsidR="009654EE" w:rsidRPr="005E4BC1" w:rsidRDefault="009654EE" w:rsidP="00D60720">
            <w:pPr>
              <w:jc w:val="center"/>
              <w:rPr>
                <w:rFonts w:ascii="Arial" w:hAnsi="Arial" w:cs="Arial"/>
                <w:sz w:val="20"/>
                <w:szCs w:val="20"/>
              </w:rPr>
            </w:pPr>
          </w:p>
        </w:tc>
      </w:tr>
      <w:tr w:rsidR="009654EE" w:rsidRPr="005E4BC1" w14:paraId="1B9AA99C" w14:textId="77777777">
        <w:trPr>
          <w:tblCellSpacing w:w="15" w:type="dxa"/>
        </w:trPr>
        <w:tc>
          <w:tcPr>
            <w:tcW w:w="0" w:type="auto"/>
            <w:vAlign w:val="center"/>
            <w:hideMark/>
          </w:tcPr>
          <w:p w14:paraId="18A63D2A" w14:textId="77777777" w:rsidR="009654EE" w:rsidRPr="005E4BC1" w:rsidRDefault="009654EE" w:rsidP="00D60720">
            <w:pPr>
              <w:rPr>
                <w:rFonts w:ascii="Arial" w:hAnsi="Arial" w:cs="Arial"/>
                <w:sz w:val="20"/>
                <w:szCs w:val="20"/>
              </w:rPr>
            </w:pPr>
            <w:r w:rsidRPr="005E4BC1">
              <w:rPr>
                <w:rFonts w:ascii="Arial" w:hAnsi="Arial" w:cs="Arial"/>
                <w:sz w:val="20"/>
                <w:szCs w:val="20"/>
              </w:rPr>
              <w:t>Nominal fin de periodo</w:t>
            </w:r>
          </w:p>
        </w:tc>
        <w:tc>
          <w:tcPr>
            <w:tcW w:w="0" w:type="auto"/>
            <w:vAlign w:val="center"/>
            <w:hideMark/>
          </w:tcPr>
          <w:p w14:paraId="3C853645"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8.0</w:t>
            </w:r>
          </w:p>
        </w:tc>
        <w:tc>
          <w:tcPr>
            <w:tcW w:w="0" w:type="auto"/>
            <w:vAlign w:val="center"/>
            <w:hideMark/>
          </w:tcPr>
          <w:p w14:paraId="5D7FCFE1"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7.3</w:t>
            </w:r>
          </w:p>
        </w:tc>
        <w:tc>
          <w:tcPr>
            <w:tcW w:w="0" w:type="auto"/>
            <w:vAlign w:val="center"/>
            <w:hideMark/>
          </w:tcPr>
          <w:p w14:paraId="0B56CA47"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6.0</w:t>
            </w:r>
          </w:p>
        </w:tc>
      </w:tr>
      <w:tr w:rsidR="009654EE" w:rsidRPr="005E4BC1" w14:paraId="62118696" w14:textId="77777777">
        <w:trPr>
          <w:tblCellSpacing w:w="15" w:type="dxa"/>
        </w:trPr>
        <w:tc>
          <w:tcPr>
            <w:tcW w:w="0" w:type="auto"/>
            <w:vAlign w:val="center"/>
            <w:hideMark/>
          </w:tcPr>
          <w:p w14:paraId="176998C5" w14:textId="77777777" w:rsidR="009654EE" w:rsidRPr="005E4BC1" w:rsidRDefault="009654EE" w:rsidP="00D60720">
            <w:pPr>
              <w:rPr>
                <w:rFonts w:ascii="Arial" w:hAnsi="Arial" w:cs="Arial"/>
                <w:sz w:val="20"/>
                <w:szCs w:val="20"/>
              </w:rPr>
            </w:pPr>
            <w:r w:rsidRPr="005E4BC1">
              <w:rPr>
                <w:rFonts w:ascii="Arial" w:hAnsi="Arial" w:cs="Arial"/>
                <w:sz w:val="20"/>
                <w:szCs w:val="20"/>
              </w:rPr>
              <w:t>Nominal promedio</w:t>
            </w:r>
          </w:p>
        </w:tc>
        <w:tc>
          <w:tcPr>
            <w:tcW w:w="0" w:type="auto"/>
            <w:vAlign w:val="center"/>
            <w:hideMark/>
          </w:tcPr>
          <w:p w14:paraId="491681E7"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8.9</w:t>
            </w:r>
          </w:p>
        </w:tc>
        <w:tc>
          <w:tcPr>
            <w:tcW w:w="0" w:type="auto"/>
            <w:vAlign w:val="center"/>
            <w:hideMark/>
          </w:tcPr>
          <w:p w14:paraId="7F824791"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8.4</w:t>
            </w:r>
          </w:p>
        </w:tc>
        <w:tc>
          <w:tcPr>
            <w:tcW w:w="0" w:type="auto"/>
            <w:vAlign w:val="center"/>
            <w:hideMark/>
          </w:tcPr>
          <w:p w14:paraId="44007EE9"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6.6</w:t>
            </w:r>
          </w:p>
        </w:tc>
      </w:tr>
      <w:tr w:rsidR="009654EE" w:rsidRPr="005E4BC1" w14:paraId="70CEA2AA" w14:textId="77777777">
        <w:trPr>
          <w:tblCellSpacing w:w="15" w:type="dxa"/>
        </w:trPr>
        <w:tc>
          <w:tcPr>
            <w:tcW w:w="0" w:type="auto"/>
            <w:vAlign w:val="center"/>
            <w:hideMark/>
          </w:tcPr>
          <w:p w14:paraId="55650F71" w14:textId="77777777" w:rsidR="009654EE" w:rsidRPr="005E4BC1" w:rsidRDefault="009654EE" w:rsidP="00D60720">
            <w:pPr>
              <w:rPr>
                <w:rFonts w:ascii="Arial" w:hAnsi="Arial" w:cs="Arial"/>
                <w:sz w:val="20"/>
                <w:szCs w:val="20"/>
              </w:rPr>
            </w:pPr>
            <w:r w:rsidRPr="005E4BC1">
              <w:rPr>
                <w:rFonts w:ascii="Arial" w:hAnsi="Arial" w:cs="Arial"/>
                <w:sz w:val="20"/>
                <w:szCs w:val="20"/>
              </w:rPr>
              <w:t>Real acumulada</w:t>
            </w:r>
          </w:p>
        </w:tc>
        <w:tc>
          <w:tcPr>
            <w:tcW w:w="0" w:type="auto"/>
            <w:vAlign w:val="center"/>
            <w:hideMark/>
          </w:tcPr>
          <w:p w14:paraId="210E51EC"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5.6</w:t>
            </w:r>
          </w:p>
        </w:tc>
        <w:tc>
          <w:tcPr>
            <w:tcW w:w="0" w:type="auto"/>
            <w:vAlign w:val="center"/>
            <w:hideMark/>
          </w:tcPr>
          <w:p w14:paraId="3D69857B"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4.8</w:t>
            </w:r>
          </w:p>
        </w:tc>
        <w:tc>
          <w:tcPr>
            <w:tcW w:w="0" w:type="auto"/>
            <w:vAlign w:val="center"/>
            <w:hideMark/>
          </w:tcPr>
          <w:p w14:paraId="143282BF"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3.0</w:t>
            </w:r>
          </w:p>
        </w:tc>
      </w:tr>
      <w:tr w:rsidR="009654EE" w:rsidRPr="005E4BC1" w14:paraId="26C70795" w14:textId="77777777">
        <w:trPr>
          <w:tblCellSpacing w:w="15" w:type="dxa"/>
        </w:trPr>
        <w:tc>
          <w:tcPr>
            <w:tcW w:w="0" w:type="auto"/>
            <w:vAlign w:val="center"/>
            <w:hideMark/>
          </w:tcPr>
          <w:p w14:paraId="42434653" w14:textId="77777777" w:rsidR="009654EE" w:rsidRPr="005E4BC1" w:rsidRDefault="009654EE" w:rsidP="00D60720">
            <w:pPr>
              <w:rPr>
                <w:rFonts w:ascii="Arial" w:hAnsi="Arial" w:cs="Arial"/>
                <w:sz w:val="20"/>
                <w:szCs w:val="20"/>
              </w:rPr>
            </w:pPr>
            <w:r w:rsidRPr="005E4BC1">
              <w:rPr>
                <w:rFonts w:ascii="Arial" w:hAnsi="Arial" w:cs="Arial"/>
                <w:b/>
                <w:bCs/>
                <w:sz w:val="20"/>
                <w:szCs w:val="20"/>
              </w:rPr>
              <w:t>Cuenta Corriente</w:t>
            </w:r>
          </w:p>
        </w:tc>
        <w:tc>
          <w:tcPr>
            <w:tcW w:w="0" w:type="auto"/>
            <w:vAlign w:val="center"/>
            <w:hideMark/>
          </w:tcPr>
          <w:p w14:paraId="29EDADA7" w14:textId="77777777" w:rsidR="009654EE" w:rsidRPr="005E4BC1" w:rsidRDefault="009654EE" w:rsidP="00D60720">
            <w:pPr>
              <w:rPr>
                <w:rFonts w:ascii="Arial" w:hAnsi="Arial" w:cs="Arial"/>
                <w:sz w:val="20"/>
                <w:szCs w:val="20"/>
              </w:rPr>
            </w:pPr>
          </w:p>
        </w:tc>
        <w:tc>
          <w:tcPr>
            <w:tcW w:w="0" w:type="auto"/>
            <w:vAlign w:val="center"/>
            <w:hideMark/>
          </w:tcPr>
          <w:p w14:paraId="1E2BAECB" w14:textId="77777777" w:rsidR="009654EE" w:rsidRPr="005E4BC1" w:rsidRDefault="009654EE" w:rsidP="00D60720">
            <w:pPr>
              <w:jc w:val="center"/>
              <w:rPr>
                <w:rFonts w:ascii="Arial" w:hAnsi="Arial" w:cs="Arial"/>
                <w:sz w:val="20"/>
                <w:szCs w:val="20"/>
              </w:rPr>
            </w:pPr>
          </w:p>
        </w:tc>
        <w:tc>
          <w:tcPr>
            <w:tcW w:w="0" w:type="auto"/>
            <w:vAlign w:val="center"/>
            <w:hideMark/>
          </w:tcPr>
          <w:p w14:paraId="0CDD7465" w14:textId="77777777" w:rsidR="009654EE" w:rsidRPr="005E4BC1" w:rsidRDefault="009654EE" w:rsidP="00D60720">
            <w:pPr>
              <w:jc w:val="center"/>
              <w:rPr>
                <w:rFonts w:ascii="Arial" w:hAnsi="Arial" w:cs="Arial"/>
                <w:sz w:val="20"/>
                <w:szCs w:val="20"/>
              </w:rPr>
            </w:pPr>
          </w:p>
        </w:tc>
      </w:tr>
      <w:tr w:rsidR="009654EE" w:rsidRPr="005E4BC1" w14:paraId="7703EB10" w14:textId="77777777">
        <w:trPr>
          <w:tblCellSpacing w:w="15" w:type="dxa"/>
        </w:trPr>
        <w:tc>
          <w:tcPr>
            <w:tcW w:w="0" w:type="auto"/>
            <w:vAlign w:val="center"/>
            <w:hideMark/>
          </w:tcPr>
          <w:p w14:paraId="3C7A9E25" w14:textId="77777777" w:rsidR="009654EE" w:rsidRPr="005E4BC1" w:rsidRDefault="009654EE" w:rsidP="00D60720">
            <w:pPr>
              <w:rPr>
                <w:rFonts w:ascii="Arial" w:hAnsi="Arial" w:cs="Arial"/>
                <w:sz w:val="20"/>
                <w:szCs w:val="20"/>
              </w:rPr>
            </w:pPr>
            <w:r w:rsidRPr="005E4BC1">
              <w:rPr>
                <w:rFonts w:ascii="Arial" w:hAnsi="Arial" w:cs="Arial"/>
                <w:sz w:val="20"/>
                <w:szCs w:val="20"/>
              </w:rPr>
              <w:t>Millones de dólares</w:t>
            </w:r>
          </w:p>
        </w:tc>
        <w:tc>
          <w:tcPr>
            <w:tcW w:w="0" w:type="auto"/>
            <w:vAlign w:val="center"/>
            <w:hideMark/>
          </w:tcPr>
          <w:p w14:paraId="4711C210"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−7 941.0</w:t>
            </w:r>
          </w:p>
        </w:tc>
        <w:tc>
          <w:tcPr>
            <w:tcW w:w="0" w:type="auto"/>
            <w:vAlign w:val="center"/>
            <w:hideMark/>
          </w:tcPr>
          <w:p w14:paraId="0F4ECABD"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−5 530.9</w:t>
            </w:r>
          </w:p>
        </w:tc>
        <w:tc>
          <w:tcPr>
            <w:tcW w:w="0" w:type="auto"/>
            <w:vAlign w:val="center"/>
            <w:hideMark/>
          </w:tcPr>
          <w:p w14:paraId="5CC46FDA"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−12 018.5</w:t>
            </w:r>
          </w:p>
        </w:tc>
      </w:tr>
      <w:tr w:rsidR="009654EE" w:rsidRPr="005E4BC1" w14:paraId="416C5D9D" w14:textId="77777777">
        <w:trPr>
          <w:tblCellSpacing w:w="15" w:type="dxa"/>
        </w:trPr>
        <w:tc>
          <w:tcPr>
            <w:tcW w:w="0" w:type="auto"/>
            <w:vAlign w:val="center"/>
            <w:hideMark/>
          </w:tcPr>
          <w:p w14:paraId="6C5DC217" w14:textId="77777777" w:rsidR="009654EE" w:rsidRPr="005E4BC1" w:rsidRDefault="009654EE" w:rsidP="00D60720">
            <w:pPr>
              <w:rPr>
                <w:rFonts w:ascii="Arial" w:hAnsi="Arial" w:cs="Arial"/>
                <w:sz w:val="20"/>
                <w:szCs w:val="20"/>
              </w:rPr>
            </w:pPr>
            <w:r w:rsidRPr="005E4BC1">
              <w:rPr>
                <w:rFonts w:ascii="Arial" w:hAnsi="Arial" w:cs="Arial"/>
                <w:sz w:val="20"/>
                <w:szCs w:val="20"/>
              </w:rPr>
              <w:t>% del PIB</w:t>
            </w:r>
          </w:p>
        </w:tc>
        <w:tc>
          <w:tcPr>
            <w:tcW w:w="0" w:type="auto"/>
            <w:vAlign w:val="center"/>
            <w:hideMark/>
          </w:tcPr>
          <w:p w14:paraId="63EBE12B"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−0.4</w:t>
            </w:r>
          </w:p>
        </w:tc>
        <w:tc>
          <w:tcPr>
            <w:tcW w:w="0" w:type="auto"/>
            <w:vAlign w:val="center"/>
            <w:hideMark/>
          </w:tcPr>
          <w:p w14:paraId="6B2A0F5A"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−0.3</w:t>
            </w:r>
          </w:p>
        </w:tc>
        <w:tc>
          <w:tcPr>
            <w:tcW w:w="0" w:type="auto"/>
            <w:vAlign w:val="center"/>
            <w:hideMark/>
          </w:tcPr>
          <w:p w14:paraId="479BDCA4" w14:textId="77777777" w:rsidR="009654EE" w:rsidRPr="005E4BC1" w:rsidRDefault="009654EE" w:rsidP="00D60720">
            <w:pPr>
              <w:jc w:val="center"/>
              <w:rPr>
                <w:rFonts w:ascii="Arial" w:hAnsi="Arial" w:cs="Arial"/>
                <w:sz w:val="20"/>
                <w:szCs w:val="20"/>
              </w:rPr>
            </w:pPr>
            <w:r w:rsidRPr="005E4BC1">
              <w:rPr>
                <w:rFonts w:ascii="Arial" w:hAnsi="Arial" w:cs="Arial"/>
                <w:sz w:val="20"/>
                <w:szCs w:val="20"/>
              </w:rPr>
              <w:t>−0.6</w:t>
            </w:r>
          </w:p>
        </w:tc>
      </w:tr>
    </w:tbl>
    <w:p w14:paraId="7597204C" w14:textId="2D30EAC9" w:rsidR="009654EE" w:rsidRPr="00B269FA" w:rsidRDefault="00B269FA" w:rsidP="00D60720">
      <w:pPr>
        <w:spacing w:line="360" w:lineRule="auto"/>
        <w:jc w:val="both"/>
        <w:rPr>
          <w:rFonts w:ascii="Arial" w:hAnsi="Arial" w:cs="Arial"/>
          <w:i/>
          <w:iCs/>
          <w:sz w:val="20"/>
          <w:szCs w:val="20"/>
        </w:rPr>
      </w:pPr>
      <w:r>
        <w:rPr>
          <w:rFonts w:ascii="Arial" w:hAnsi="Arial" w:cs="Arial"/>
          <w:i/>
          <w:iCs/>
          <w:sz w:val="20"/>
          <w:szCs w:val="20"/>
        </w:rPr>
        <w:t>Fuente: CGP</w:t>
      </w:r>
      <w:r w:rsidR="00F27B76">
        <w:rPr>
          <w:rFonts w:ascii="Arial" w:hAnsi="Arial" w:cs="Arial"/>
          <w:i/>
          <w:iCs/>
          <w:sz w:val="20"/>
          <w:szCs w:val="20"/>
        </w:rPr>
        <w:t>E</w:t>
      </w:r>
      <w:r>
        <w:rPr>
          <w:rFonts w:ascii="Arial" w:hAnsi="Arial" w:cs="Arial"/>
          <w:i/>
          <w:iCs/>
          <w:sz w:val="20"/>
          <w:szCs w:val="20"/>
        </w:rPr>
        <w:t xml:space="preserve"> 2026, SHCP.</w:t>
      </w:r>
    </w:p>
    <w:p w14:paraId="4A83C914" w14:textId="77777777" w:rsidR="00B269FA" w:rsidRDefault="00B269FA" w:rsidP="00D60720">
      <w:pPr>
        <w:spacing w:line="360" w:lineRule="auto"/>
        <w:jc w:val="both"/>
        <w:rPr>
          <w:rFonts w:ascii="Arial" w:hAnsi="Arial" w:cs="Arial"/>
        </w:rPr>
      </w:pPr>
    </w:p>
    <w:p w14:paraId="1EF23DEE" w14:textId="0A1E6134" w:rsidR="0093626F" w:rsidRDefault="00896808" w:rsidP="00D60720">
      <w:pPr>
        <w:spacing w:line="360" w:lineRule="auto"/>
        <w:jc w:val="both"/>
        <w:rPr>
          <w:rFonts w:ascii="Arial" w:hAnsi="Arial" w:cs="Arial"/>
        </w:rPr>
      </w:pPr>
      <w:r w:rsidRPr="00896808">
        <w:rPr>
          <w:rFonts w:ascii="Arial" w:hAnsi="Arial" w:cs="Arial"/>
        </w:rPr>
        <w:t>El entorno macroeconómico 2025–2026 se caracteriza por una moderación del crecimiento global</w:t>
      </w:r>
      <w:r w:rsidR="009654EE">
        <w:rPr>
          <w:rFonts w:ascii="Arial" w:hAnsi="Arial" w:cs="Arial"/>
        </w:rPr>
        <w:t xml:space="preserve"> y nacional</w:t>
      </w:r>
      <w:r w:rsidRPr="00896808">
        <w:rPr>
          <w:rFonts w:ascii="Arial" w:hAnsi="Arial" w:cs="Arial"/>
        </w:rPr>
        <w:t>, la reducción gradual de la inflación y la normalización de las tasas de interés internacionales, factores que en conjunto generan condiciones propicias para mantener la estabilidad económica y fiscal en México.</w:t>
      </w:r>
    </w:p>
    <w:p w14:paraId="4C72D06E" w14:textId="77777777" w:rsidR="005E4BC1" w:rsidRDefault="005E4BC1" w:rsidP="00D60720">
      <w:pPr>
        <w:spacing w:line="360" w:lineRule="auto"/>
        <w:jc w:val="both"/>
        <w:rPr>
          <w:rFonts w:ascii="Arial" w:hAnsi="Arial" w:cs="Arial"/>
        </w:rPr>
      </w:pPr>
    </w:p>
    <w:p w14:paraId="2D95C328" w14:textId="448EBD58" w:rsidR="00D25785" w:rsidRDefault="00D25785" w:rsidP="00D60720">
      <w:pPr>
        <w:spacing w:line="360" w:lineRule="auto"/>
        <w:jc w:val="both"/>
        <w:rPr>
          <w:rFonts w:ascii="Arial" w:hAnsi="Arial" w:cs="Arial"/>
        </w:rPr>
      </w:pPr>
      <w:r w:rsidRPr="00D25785">
        <w:rPr>
          <w:rFonts w:ascii="Arial" w:hAnsi="Arial" w:cs="Arial"/>
        </w:rPr>
        <w:t xml:space="preserve">En el ámbito federal, el Presupuesto de Egresos de la Federación (PEF 2026) asciende a $10.19 billones de pesos, lo que representa un incremento nominal del </w:t>
      </w:r>
      <w:r w:rsidR="009C4D4C">
        <w:rPr>
          <w:rFonts w:ascii="Arial" w:hAnsi="Arial" w:cs="Arial"/>
        </w:rPr>
        <w:t>9.59</w:t>
      </w:r>
      <w:r w:rsidRPr="00D25785">
        <w:rPr>
          <w:rFonts w:ascii="Arial" w:hAnsi="Arial" w:cs="Arial"/>
        </w:rPr>
        <w:t>% respecto al ejercicio 2025.</w:t>
      </w:r>
    </w:p>
    <w:p w14:paraId="60F0FCDF" w14:textId="77777777" w:rsidR="00A608A5" w:rsidRPr="00D25785" w:rsidRDefault="00A608A5" w:rsidP="00D60720">
      <w:pPr>
        <w:spacing w:line="360" w:lineRule="auto"/>
        <w:jc w:val="both"/>
        <w:rPr>
          <w:rFonts w:ascii="Arial" w:hAnsi="Arial" w:cs="Arial"/>
        </w:rPr>
      </w:pPr>
    </w:p>
    <w:p w14:paraId="62F67204" w14:textId="656C9CA3" w:rsidR="00D25785" w:rsidRDefault="00D25785" w:rsidP="00D60720">
      <w:pPr>
        <w:spacing w:line="360" w:lineRule="auto"/>
        <w:jc w:val="both"/>
        <w:rPr>
          <w:rFonts w:ascii="Arial" w:hAnsi="Arial" w:cs="Arial"/>
        </w:rPr>
      </w:pPr>
      <w:r w:rsidRPr="00D25785">
        <w:rPr>
          <w:rFonts w:ascii="Arial" w:hAnsi="Arial" w:cs="Arial"/>
        </w:rPr>
        <w:t>El déficit presupuestario se estima en 4.1% del PIB, y se proyecta un superávit primario del 0.9%, con el objetivo de estabilizar la deuda pública neta en torno al 52.3% del PIB.</w:t>
      </w:r>
    </w:p>
    <w:p w14:paraId="1216F3F5" w14:textId="77777777" w:rsidR="00513F1D" w:rsidRPr="00904FFD" w:rsidRDefault="00513F1D" w:rsidP="00D60720">
      <w:pPr>
        <w:spacing w:line="360" w:lineRule="auto"/>
        <w:rPr>
          <w:rFonts w:ascii="Arial" w:hAnsi="Arial" w:cs="Arial"/>
          <w:b/>
          <w:bCs/>
        </w:rPr>
      </w:pPr>
    </w:p>
    <w:p w14:paraId="1599B1B5" w14:textId="77777777" w:rsidR="00513F1D" w:rsidRPr="00E85C8C" w:rsidRDefault="00513F1D" w:rsidP="00D60720">
      <w:pPr>
        <w:pStyle w:val="Prrafodelista"/>
        <w:numPr>
          <w:ilvl w:val="0"/>
          <w:numId w:val="13"/>
        </w:numPr>
        <w:spacing w:line="360" w:lineRule="auto"/>
        <w:rPr>
          <w:rFonts w:ascii="Arial" w:hAnsi="Arial" w:cs="Arial"/>
          <w:b/>
          <w:bCs/>
          <w:u w:val="single"/>
        </w:rPr>
      </w:pPr>
      <w:r w:rsidRPr="00E85C8C">
        <w:rPr>
          <w:rFonts w:ascii="Arial" w:hAnsi="Arial" w:cs="Arial"/>
          <w:b/>
          <w:bCs/>
          <w:u w:val="single"/>
        </w:rPr>
        <w:t>Consideraciones Particulares</w:t>
      </w:r>
    </w:p>
    <w:p w14:paraId="620C6F4E" w14:textId="77777777" w:rsidR="00513F1D" w:rsidRDefault="00513F1D" w:rsidP="00D60720">
      <w:pPr>
        <w:spacing w:line="360" w:lineRule="auto"/>
        <w:jc w:val="both"/>
        <w:rPr>
          <w:rFonts w:ascii="Arial" w:hAnsi="Arial" w:cs="Arial"/>
        </w:rPr>
      </w:pPr>
    </w:p>
    <w:p w14:paraId="2C9730D8" w14:textId="60CA1281" w:rsidR="008C5D6C" w:rsidRPr="008C5D6C" w:rsidRDefault="008C5D6C" w:rsidP="00D60720">
      <w:pPr>
        <w:spacing w:line="360" w:lineRule="auto"/>
        <w:jc w:val="both"/>
        <w:rPr>
          <w:rFonts w:ascii="Arial" w:hAnsi="Arial" w:cs="Arial"/>
        </w:rPr>
      </w:pPr>
      <w:r w:rsidRPr="008C5D6C">
        <w:rPr>
          <w:rFonts w:ascii="Arial" w:hAnsi="Arial" w:cs="Arial"/>
        </w:rPr>
        <w:t xml:space="preserve">En el rubro de Gasto No Programable, destinado al cumplimiento de obligaciones del </w:t>
      </w:r>
      <w:r w:rsidRPr="000C577B">
        <w:rPr>
          <w:rFonts w:ascii="Arial" w:hAnsi="Arial" w:cs="Arial"/>
        </w:rPr>
        <w:t>e</w:t>
      </w:r>
      <w:r w:rsidRPr="008C5D6C">
        <w:rPr>
          <w:rFonts w:ascii="Arial" w:hAnsi="Arial" w:cs="Arial"/>
        </w:rPr>
        <w:t>stado</w:t>
      </w:r>
      <w:r w:rsidRPr="000C577B">
        <w:rPr>
          <w:rFonts w:ascii="Arial" w:hAnsi="Arial" w:cs="Arial"/>
        </w:rPr>
        <w:t xml:space="preserve">, </w:t>
      </w:r>
      <w:r w:rsidRPr="008C5D6C">
        <w:rPr>
          <w:rFonts w:ascii="Arial" w:hAnsi="Arial" w:cs="Arial"/>
        </w:rPr>
        <w:t>tales como el costo financiero de la deuda, la atención de adeudos de ejercicios fiscales anteriores y las transferencias a los municipios mediante Participaciones y Aportaciones Federales, se proyecta un monto total de $23,247,356,947.00 (</w:t>
      </w:r>
      <w:r w:rsidR="00535A41">
        <w:rPr>
          <w:rFonts w:ascii="Arial" w:hAnsi="Arial" w:cs="Arial"/>
        </w:rPr>
        <w:t>v</w:t>
      </w:r>
      <w:r w:rsidRPr="008C5D6C">
        <w:rPr>
          <w:rFonts w:ascii="Arial" w:hAnsi="Arial" w:cs="Arial"/>
        </w:rPr>
        <w:t>eintitrés mil doscientos cuarenta y siete millones trescientos cincuenta y seis mil novecientos cuarenta y siete pesos 00/100 M.N.).</w:t>
      </w:r>
    </w:p>
    <w:p w14:paraId="3F39AA55" w14:textId="59B57684" w:rsidR="008C5D6C" w:rsidRDefault="008C5D6C" w:rsidP="00D60720">
      <w:pPr>
        <w:spacing w:line="360" w:lineRule="auto"/>
        <w:jc w:val="both"/>
        <w:rPr>
          <w:rFonts w:ascii="Arial" w:hAnsi="Arial" w:cs="Arial"/>
        </w:rPr>
      </w:pPr>
      <w:r w:rsidRPr="008C5D6C">
        <w:rPr>
          <w:rFonts w:ascii="Arial" w:hAnsi="Arial" w:cs="Arial"/>
        </w:rPr>
        <w:t>De este total, $19,906,378,431.00 (</w:t>
      </w:r>
      <w:r w:rsidR="00535A41">
        <w:rPr>
          <w:rFonts w:ascii="Arial" w:hAnsi="Arial" w:cs="Arial"/>
        </w:rPr>
        <w:t>D</w:t>
      </w:r>
      <w:r w:rsidRPr="008C5D6C">
        <w:rPr>
          <w:rFonts w:ascii="Arial" w:hAnsi="Arial" w:cs="Arial"/>
        </w:rPr>
        <w:t>iecinueve mil novecientos seis millones trescientos setenta y ocho mil cuatrocientos treinta y un pesos 00/100 M.N.) corresponden a los recursos participables a los municipios, conforme a lo establecido en la Ley de Coordinación Fiscal del Estado y en congruencia con las fórmulas de distribución previstas en la legislación federal aplicable.</w:t>
      </w:r>
    </w:p>
    <w:p w14:paraId="0C0CEE5F" w14:textId="77777777" w:rsidR="00FC2D3D" w:rsidRPr="008C5D6C" w:rsidRDefault="00FC2D3D" w:rsidP="00D60720">
      <w:pPr>
        <w:spacing w:line="360" w:lineRule="auto"/>
        <w:jc w:val="both"/>
        <w:rPr>
          <w:rFonts w:ascii="Arial" w:hAnsi="Arial" w:cs="Arial"/>
        </w:rPr>
      </w:pPr>
    </w:p>
    <w:p w14:paraId="134BBB8D" w14:textId="29BFF278" w:rsidR="00D50010" w:rsidRDefault="00FF35DF" w:rsidP="00D60720">
      <w:pPr>
        <w:spacing w:line="360" w:lineRule="auto"/>
        <w:jc w:val="both"/>
        <w:rPr>
          <w:rFonts w:ascii="Arial" w:hAnsi="Arial" w:cs="Arial"/>
        </w:rPr>
      </w:pPr>
      <w:r>
        <w:rPr>
          <w:rFonts w:ascii="Arial" w:hAnsi="Arial" w:cs="Arial"/>
        </w:rPr>
        <w:t>En materia de inversión e infraestructura, e</w:t>
      </w:r>
      <w:r w:rsidR="00F27B76" w:rsidRPr="00F27B76">
        <w:rPr>
          <w:rFonts w:ascii="Arial" w:hAnsi="Arial" w:cs="Arial"/>
        </w:rPr>
        <w:t xml:space="preserve">l gasto de obra pública multianual asciende a </w:t>
      </w:r>
      <w:r w:rsidR="00BD643A">
        <w:rPr>
          <w:rFonts w:ascii="Arial" w:hAnsi="Arial" w:cs="Arial"/>
        </w:rPr>
        <w:t>$</w:t>
      </w:r>
      <w:r w:rsidR="00F27B76">
        <w:rPr>
          <w:rFonts w:ascii="Arial" w:hAnsi="Arial" w:cs="Arial"/>
        </w:rPr>
        <w:t>2,743</w:t>
      </w:r>
      <w:r w:rsidR="00F27B76" w:rsidRPr="00F27B76">
        <w:rPr>
          <w:rFonts w:ascii="Arial" w:hAnsi="Arial" w:cs="Arial"/>
        </w:rPr>
        <w:t xml:space="preserve"> millones de pesos, considerados en la Secretaría de Comunicaciones y Obras Públicas, Secretaría de Desarrollo Urbano y Movilidad, así como en la Comisión Estatal del Agua y Gestión de Cuencas.</w:t>
      </w:r>
    </w:p>
    <w:p w14:paraId="4C2BF85B" w14:textId="77777777" w:rsidR="005E4BC1" w:rsidRDefault="005E4BC1" w:rsidP="00D60720">
      <w:pPr>
        <w:spacing w:line="360" w:lineRule="auto"/>
        <w:jc w:val="both"/>
        <w:rPr>
          <w:rFonts w:ascii="Arial" w:hAnsi="Arial" w:cs="Arial"/>
        </w:rPr>
      </w:pPr>
    </w:p>
    <w:p w14:paraId="15DD46E8" w14:textId="79E67D91" w:rsidR="00D50010" w:rsidRDefault="00D50010" w:rsidP="00D60720">
      <w:pPr>
        <w:spacing w:line="360" w:lineRule="auto"/>
        <w:jc w:val="both"/>
        <w:rPr>
          <w:rFonts w:ascii="Arial" w:hAnsi="Arial" w:cs="Arial"/>
        </w:rPr>
      </w:pPr>
      <w:r w:rsidRPr="00D50010">
        <w:rPr>
          <w:rFonts w:ascii="Arial" w:hAnsi="Arial" w:cs="Arial"/>
        </w:rPr>
        <w:t xml:space="preserve">Por su parte, el </w:t>
      </w:r>
      <w:r w:rsidRPr="000C577B">
        <w:rPr>
          <w:rFonts w:ascii="Arial" w:hAnsi="Arial" w:cs="Arial"/>
        </w:rPr>
        <w:t>Fondo de Aportaciones Estatales para la Infraestructura de los Servicios Públicos Municipales (FAEISPUM) alcanza un monto total de $1,442,751,325.00 (</w:t>
      </w:r>
      <w:r w:rsidR="00535A41">
        <w:rPr>
          <w:rFonts w:ascii="Arial" w:hAnsi="Arial" w:cs="Arial"/>
        </w:rPr>
        <w:t>M</w:t>
      </w:r>
      <w:r w:rsidRPr="000C577B">
        <w:rPr>
          <w:rFonts w:ascii="Arial" w:hAnsi="Arial" w:cs="Arial"/>
        </w:rPr>
        <w:t>il cuatrocientos cuarenta y dos millones setecientos cincuenta y un mil trescientos veinticinco pesos 00/100 M.N.), con el objetivo de fortalecer la infraestructura básica de los municipios</w:t>
      </w:r>
      <w:r>
        <w:rPr>
          <w:rFonts w:ascii="Arial" w:hAnsi="Arial" w:cs="Arial"/>
        </w:rPr>
        <w:t>.</w:t>
      </w:r>
    </w:p>
    <w:p w14:paraId="2F5E0705" w14:textId="77777777" w:rsidR="005E4BC1" w:rsidRDefault="005E4BC1" w:rsidP="00D60720">
      <w:pPr>
        <w:spacing w:line="360" w:lineRule="auto"/>
        <w:jc w:val="both"/>
        <w:rPr>
          <w:rFonts w:ascii="Arial" w:hAnsi="Arial" w:cs="Arial"/>
        </w:rPr>
      </w:pPr>
    </w:p>
    <w:p w14:paraId="12C35C6F" w14:textId="77777777" w:rsidR="000C577B" w:rsidRDefault="000C577B" w:rsidP="00D60720">
      <w:pPr>
        <w:spacing w:line="360" w:lineRule="auto"/>
        <w:jc w:val="both"/>
        <w:rPr>
          <w:rFonts w:ascii="Arial" w:hAnsi="Arial" w:cs="Arial"/>
        </w:rPr>
      </w:pPr>
      <w:r w:rsidRPr="000C577B">
        <w:rPr>
          <w:rFonts w:ascii="Arial" w:hAnsi="Arial" w:cs="Arial"/>
        </w:rPr>
        <w:t>En el rubro de educación, se proyecta un incremento de 2,500 millones de pesos de recursos estatales destinados a la Secretaría de Educación del Estado, lo que representa un aumento del 8% en su presupuesto total respecto al ejercicio fiscal 2025.</w:t>
      </w:r>
    </w:p>
    <w:p w14:paraId="67215D5E" w14:textId="77777777" w:rsidR="00FC2D3D" w:rsidRPr="000C577B" w:rsidRDefault="00FC2D3D" w:rsidP="00D60720">
      <w:pPr>
        <w:spacing w:line="360" w:lineRule="auto"/>
        <w:jc w:val="both"/>
        <w:rPr>
          <w:rFonts w:ascii="Arial" w:hAnsi="Arial" w:cs="Arial"/>
        </w:rPr>
      </w:pPr>
    </w:p>
    <w:p w14:paraId="6BBDD5BB" w14:textId="77777777" w:rsidR="000C577B" w:rsidRPr="000C577B" w:rsidRDefault="000C577B" w:rsidP="00D60720">
      <w:pPr>
        <w:spacing w:line="360" w:lineRule="auto"/>
        <w:jc w:val="both"/>
        <w:rPr>
          <w:rFonts w:ascii="Arial" w:hAnsi="Arial" w:cs="Arial"/>
        </w:rPr>
      </w:pPr>
      <w:r w:rsidRPr="000C577B">
        <w:rPr>
          <w:rFonts w:ascii="Arial" w:hAnsi="Arial" w:cs="Arial"/>
        </w:rPr>
        <w:t>Asimismo, se garantiza el presupuesto pleno a la Universidad Michoacana de San Nicolás de Hidalgo, que alcanzará un monto superior a $4,850 millones de pesos, reafirmando el compromiso con la educación superior pública. De igual forma, se asegura el cumplimiento íntegro de las aportaciones estatales correspondientes a los subsistemas educativos, en congruencia con los convenios establecidos con la Federación.</w:t>
      </w:r>
    </w:p>
    <w:p w14:paraId="66E345D0" w14:textId="6573EBF1" w:rsidR="00143B19" w:rsidRDefault="000C577B" w:rsidP="00D60720">
      <w:pPr>
        <w:spacing w:line="360" w:lineRule="auto"/>
        <w:jc w:val="both"/>
        <w:rPr>
          <w:rFonts w:ascii="Arial" w:eastAsia="Calibri" w:hAnsi="Arial" w:cs="Arial"/>
        </w:rPr>
      </w:pPr>
      <w:r w:rsidRPr="000C577B">
        <w:rPr>
          <w:rFonts w:ascii="Arial" w:eastAsia="Calibri" w:hAnsi="Arial" w:cs="Arial"/>
        </w:rPr>
        <w:t>Para el rubro de Servicios Personales, se prevé una asignación superior a $37,000 millones de pesos, lo que representa un incremento de $2,300 millones respecto al ejercicio anterior. Esta proyección se formula en cumplimiento de lo dispuesto en el Artículo 10 de la Ley de Disciplina Financiera de las Entidades Federativas y los Municipios, que establece el marco de referencia para su crecimiento. Con ello, se garantiza la cobertura integral del gasto corriente derivado de las obligaciones del Gobierno del Estado y se asegura el bienestar laboral de las y los trabajadores del servicio público.</w:t>
      </w:r>
    </w:p>
    <w:p w14:paraId="68B2ADBC" w14:textId="77777777" w:rsidR="00BD643A" w:rsidRPr="000C577B" w:rsidRDefault="00BD643A" w:rsidP="00D60720">
      <w:pPr>
        <w:spacing w:line="360" w:lineRule="auto"/>
        <w:jc w:val="both"/>
        <w:rPr>
          <w:rFonts w:ascii="Arial" w:eastAsia="Calibri" w:hAnsi="Arial" w:cs="Arial"/>
        </w:rPr>
      </w:pPr>
    </w:p>
    <w:p w14:paraId="461376B8" w14:textId="47E64171" w:rsidR="00143B19" w:rsidRPr="00E85C8C" w:rsidRDefault="00143B19" w:rsidP="00D60720">
      <w:pPr>
        <w:pStyle w:val="NormalWeb"/>
        <w:numPr>
          <w:ilvl w:val="0"/>
          <w:numId w:val="13"/>
        </w:numPr>
        <w:spacing w:before="0" w:beforeAutospacing="0" w:after="0" w:afterAutospacing="0" w:line="360" w:lineRule="auto"/>
        <w:jc w:val="both"/>
        <w:rPr>
          <w:rStyle w:val="Textoennegrita"/>
          <w:rFonts w:ascii="Arial" w:hAnsi="Arial" w:cs="Arial"/>
          <w:u w:val="single"/>
        </w:rPr>
      </w:pPr>
      <w:r w:rsidRPr="00E85C8C">
        <w:rPr>
          <w:rStyle w:val="Textoennegrita"/>
          <w:rFonts w:ascii="Arial" w:hAnsi="Arial" w:cs="Arial"/>
          <w:u w:val="single"/>
        </w:rPr>
        <w:t>Entorno Económico Internacional</w:t>
      </w:r>
    </w:p>
    <w:p w14:paraId="673DB9F2" w14:textId="77777777" w:rsidR="00143B19" w:rsidRDefault="00143B19" w:rsidP="00D60720">
      <w:pPr>
        <w:spacing w:line="360" w:lineRule="auto"/>
        <w:jc w:val="both"/>
        <w:rPr>
          <w:rFonts w:ascii="Arial" w:eastAsia="Calibri" w:hAnsi="Arial" w:cs="Arial"/>
        </w:rPr>
      </w:pPr>
    </w:p>
    <w:p w14:paraId="25848BE8" w14:textId="77777777" w:rsidR="00766B66" w:rsidRDefault="00F14BFE" w:rsidP="00D60720">
      <w:pPr>
        <w:spacing w:line="360" w:lineRule="auto"/>
        <w:jc w:val="both"/>
        <w:rPr>
          <w:rFonts w:ascii="Arial" w:eastAsia="Calibri" w:hAnsi="Arial" w:cs="Arial"/>
        </w:rPr>
      </w:pPr>
      <w:r w:rsidRPr="00F33ABC">
        <w:rPr>
          <w:rFonts w:ascii="Arial" w:eastAsia="Calibri" w:hAnsi="Arial" w:cs="Arial"/>
        </w:rPr>
        <w:t xml:space="preserve">El contexto </w:t>
      </w:r>
      <w:r w:rsidR="00F33ABC" w:rsidRPr="00F33ABC">
        <w:rPr>
          <w:rFonts w:ascii="Arial" w:eastAsia="Calibri" w:hAnsi="Arial" w:cs="Arial"/>
        </w:rPr>
        <w:t xml:space="preserve">económico </w:t>
      </w:r>
      <w:r w:rsidRPr="00F33ABC">
        <w:rPr>
          <w:rFonts w:ascii="Arial" w:eastAsia="Calibri" w:hAnsi="Arial" w:cs="Arial"/>
        </w:rPr>
        <w:t xml:space="preserve">internacional </w:t>
      </w:r>
      <w:r w:rsidR="00F33ABC" w:rsidRPr="00F33ABC">
        <w:rPr>
          <w:rFonts w:ascii="Arial" w:eastAsia="Calibri" w:hAnsi="Arial" w:cs="Arial"/>
        </w:rPr>
        <w:t xml:space="preserve">actual, </w:t>
      </w:r>
      <w:r w:rsidRPr="00F33ABC">
        <w:rPr>
          <w:rFonts w:ascii="Arial" w:eastAsia="Calibri" w:hAnsi="Arial" w:cs="Arial"/>
        </w:rPr>
        <w:t>se caracteriza por una reconfiguración profunda del comercio mundial, derivad</w:t>
      </w:r>
      <w:r w:rsidR="00F33ABC" w:rsidRPr="00F33ABC">
        <w:rPr>
          <w:rFonts w:ascii="Arial" w:eastAsia="Calibri" w:hAnsi="Arial" w:cs="Arial"/>
        </w:rPr>
        <w:t>o de una política arancelaria volátil y</w:t>
      </w:r>
      <w:r w:rsidRPr="00F33ABC">
        <w:rPr>
          <w:rFonts w:ascii="Arial" w:eastAsia="Calibri" w:hAnsi="Arial" w:cs="Arial"/>
        </w:rPr>
        <w:t xml:space="preserve"> de </w:t>
      </w:r>
      <w:r w:rsidR="00F33ABC" w:rsidRPr="00F33ABC">
        <w:rPr>
          <w:rFonts w:ascii="Arial" w:eastAsia="Calibri" w:hAnsi="Arial" w:cs="Arial"/>
        </w:rPr>
        <w:t>u</w:t>
      </w:r>
      <w:r w:rsidR="00F33ABC">
        <w:rPr>
          <w:rFonts w:ascii="Arial" w:eastAsia="Calibri" w:hAnsi="Arial" w:cs="Arial"/>
        </w:rPr>
        <w:t>n</w:t>
      </w:r>
      <w:r w:rsidRPr="00F33ABC">
        <w:rPr>
          <w:rFonts w:ascii="Arial" w:eastAsia="Calibri" w:hAnsi="Arial" w:cs="Arial"/>
        </w:rPr>
        <w:t>a guerra comercial entre Estados Unidos y China, la transición energética global, la moderación de la inflación y la normalización de las políticas monetarias de las principales economías.</w:t>
      </w:r>
      <w:r w:rsidR="00F33ABC" w:rsidRPr="00F33ABC">
        <w:rPr>
          <w:rFonts w:ascii="Arial" w:eastAsia="Calibri" w:hAnsi="Arial" w:cs="Arial"/>
        </w:rPr>
        <w:t xml:space="preserve"> </w:t>
      </w:r>
      <w:r w:rsidR="00F33ABC" w:rsidRPr="00143B19">
        <w:rPr>
          <w:rFonts w:ascii="Arial" w:eastAsia="Calibri" w:hAnsi="Arial" w:cs="Arial"/>
        </w:rPr>
        <w:t>No obstante, persisten</w:t>
      </w:r>
      <w:r w:rsidR="00F33ABC">
        <w:rPr>
          <w:rFonts w:ascii="Arial" w:eastAsia="Calibri" w:hAnsi="Arial" w:cs="Arial"/>
        </w:rPr>
        <w:t xml:space="preserve"> también</w:t>
      </w:r>
      <w:r w:rsidR="00F33ABC" w:rsidRPr="00143B19">
        <w:rPr>
          <w:rFonts w:ascii="Arial" w:eastAsia="Calibri" w:hAnsi="Arial" w:cs="Arial"/>
        </w:rPr>
        <w:t xml:space="preserve"> riesgos geopolíticos (conflictos en Europa Oriental y Medio Oriente), tensiones comerciales entre las principales potencias y un entorno de endeudamiento global elevado, lo que obliga a los países a mantener políticas fiscales prudentes y diversificar sus fuentes de crecimiento.</w:t>
      </w:r>
    </w:p>
    <w:p w14:paraId="72D1070D" w14:textId="77777777" w:rsidR="00E728EB" w:rsidRDefault="00E728EB" w:rsidP="00D60720">
      <w:pPr>
        <w:spacing w:line="360" w:lineRule="auto"/>
        <w:jc w:val="both"/>
        <w:rPr>
          <w:rFonts w:ascii="Arial" w:eastAsia="Calibri" w:hAnsi="Arial" w:cs="Arial"/>
        </w:rPr>
      </w:pPr>
    </w:p>
    <w:p w14:paraId="441580F8" w14:textId="6B6890B6" w:rsidR="00F14BFE" w:rsidRDefault="00F14BFE" w:rsidP="00D60720">
      <w:pPr>
        <w:spacing w:line="360" w:lineRule="auto"/>
        <w:jc w:val="both"/>
        <w:rPr>
          <w:rFonts w:ascii="Arial" w:eastAsia="Calibri" w:hAnsi="Arial" w:cs="Arial"/>
        </w:rPr>
      </w:pPr>
      <w:r w:rsidRPr="00F33ABC">
        <w:rPr>
          <w:rFonts w:ascii="Arial" w:eastAsia="Calibri" w:hAnsi="Arial" w:cs="Arial"/>
        </w:rPr>
        <w:t>Este escenario, aunque más estable que en los años inmediatamente posteriores a la pandemia, sigue mostrando alta volatilidad y tensiones geoeconómicas que inciden directamente en los flujos de inversión, los precios de los energéticos y las condiciones financieras globales.</w:t>
      </w:r>
    </w:p>
    <w:p w14:paraId="54617FB2" w14:textId="77777777" w:rsidR="00E728EB" w:rsidRPr="00F33ABC" w:rsidRDefault="00E728EB" w:rsidP="00D60720">
      <w:pPr>
        <w:spacing w:line="360" w:lineRule="auto"/>
        <w:jc w:val="both"/>
        <w:rPr>
          <w:rFonts w:ascii="Arial" w:eastAsia="Calibri" w:hAnsi="Arial" w:cs="Arial"/>
        </w:rPr>
      </w:pPr>
    </w:p>
    <w:p w14:paraId="0EDB9E75" w14:textId="77777777" w:rsidR="00766B66" w:rsidRDefault="00143B19" w:rsidP="00D60720">
      <w:pPr>
        <w:spacing w:line="360" w:lineRule="auto"/>
        <w:jc w:val="both"/>
        <w:rPr>
          <w:rFonts w:ascii="Arial" w:eastAsia="Calibri" w:hAnsi="Arial" w:cs="Arial"/>
        </w:rPr>
      </w:pPr>
      <w:r w:rsidRPr="00143B19">
        <w:rPr>
          <w:rFonts w:ascii="Arial" w:eastAsia="Calibri" w:hAnsi="Arial" w:cs="Arial"/>
        </w:rPr>
        <w:t>El Fondo Monetario Internacional (FMI) estima que el PIB mundial crecerá 3.0% en 2026, ligeramente por encima del 2.9% registrado en 2025.</w:t>
      </w:r>
    </w:p>
    <w:p w14:paraId="0F2D19AB" w14:textId="7C97636E" w:rsidR="00F33ABC" w:rsidRDefault="00143B19" w:rsidP="00D60720">
      <w:pPr>
        <w:spacing w:line="360" w:lineRule="auto"/>
        <w:jc w:val="both"/>
        <w:rPr>
          <w:rFonts w:ascii="Arial" w:eastAsia="Calibri" w:hAnsi="Arial" w:cs="Arial"/>
        </w:rPr>
      </w:pPr>
      <w:r w:rsidRPr="00143B19">
        <w:rPr>
          <w:rFonts w:ascii="Arial" w:eastAsia="Calibri" w:hAnsi="Arial" w:cs="Arial"/>
        </w:rPr>
        <w:t>El comercio global se recupera gradualmente gracias a la normalización de las cadenas de suministro, la estabilización de los precios energéticos y el fortalecimiento de la demanda en economías emergentes.</w:t>
      </w:r>
      <w:r w:rsidR="00E728EB">
        <w:rPr>
          <w:rFonts w:ascii="Arial" w:eastAsia="Calibri" w:hAnsi="Arial" w:cs="Arial"/>
        </w:rPr>
        <w:t xml:space="preserve"> </w:t>
      </w:r>
      <w:r w:rsidR="00F33ABC" w:rsidRPr="00F33ABC">
        <w:rPr>
          <w:rFonts w:ascii="Arial" w:eastAsia="Calibri" w:hAnsi="Arial" w:cs="Arial"/>
        </w:rPr>
        <w:t>La guerra comercial entre Estados Unidos y China ha evolucionado hacia una competencia tecnológica y geoestratégica.</w:t>
      </w:r>
    </w:p>
    <w:p w14:paraId="4AABD26A" w14:textId="77777777" w:rsidR="00E728EB" w:rsidRPr="00F33ABC" w:rsidRDefault="00E728EB" w:rsidP="00D60720">
      <w:pPr>
        <w:spacing w:line="360" w:lineRule="auto"/>
        <w:jc w:val="both"/>
        <w:rPr>
          <w:rFonts w:ascii="Arial" w:eastAsia="Calibri" w:hAnsi="Arial" w:cs="Arial"/>
        </w:rPr>
      </w:pPr>
    </w:p>
    <w:p w14:paraId="503E6C0B" w14:textId="413365DD" w:rsidR="00F33ABC" w:rsidRDefault="00F33ABC" w:rsidP="00D60720">
      <w:pPr>
        <w:spacing w:line="360" w:lineRule="auto"/>
        <w:jc w:val="both"/>
        <w:rPr>
          <w:rFonts w:ascii="Arial" w:eastAsia="Calibri" w:hAnsi="Arial" w:cs="Arial"/>
        </w:rPr>
      </w:pPr>
      <w:r w:rsidRPr="00F33ABC">
        <w:rPr>
          <w:rFonts w:ascii="Arial" w:eastAsia="Calibri" w:hAnsi="Arial" w:cs="Arial"/>
        </w:rPr>
        <w:t>Durante 2025 Estados Unidos ha mantenido aranceles promedio de entre 10% y 25% sobre más de 350 mil millones de dólares en importaciones chinas, particularmente en sectores estratégicos como semiconductores, acero, paneles solares y productos electrónicos.</w:t>
      </w:r>
    </w:p>
    <w:p w14:paraId="649D50E3" w14:textId="77777777" w:rsidR="00E728EB" w:rsidRPr="00F33ABC" w:rsidRDefault="00E728EB" w:rsidP="00D60720">
      <w:pPr>
        <w:spacing w:line="360" w:lineRule="auto"/>
        <w:jc w:val="both"/>
        <w:rPr>
          <w:rFonts w:ascii="Arial" w:eastAsia="Calibri" w:hAnsi="Arial" w:cs="Arial"/>
        </w:rPr>
      </w:pPr>
    </w:p>
    <w:p w14:paraId="41DBA8F9" w14:textId="77777777" w:rsidR="00F33ABC" w:rsidRDefault="00F33ABC" w:rsidP="00D60720">
      <w:pPr>
        <w:spacing w:line="360" w:lineRule="auto"/>
        <w:jc w:val="both"/>
        <w:rPr>
          <w:rFonts w:ascii="Arial" w:eastAsia="Calibri" w:hAnsi="Arial" w:cs="Arial"/>
        </w:rPr>
      </w:pPr>
      <w:r w:rsidRPr="00F33ABC">
        <w:rPr>
          <w:rFonts w:ascii="Arial" w:eastAsia="Calibri" w:hAnsi="Arial" w:cs="Arial"/>
        </w:rPr>
        <w:t>China, por su parte, ha respondido con restricciones a la exportación de materiales críticos (litio, grafito y tierras raras), esenciales para las cadenas de valor de baterías y tecnologías limpias.</w:t>
      </w:r>
    </w:p>
    <w:p w14:paraId="448FCD88" w14:textId="77777777" w:rsidR="00E728EB" w:rsidRPr="00F33ABC" w:rsidRDefault="00E728EB" w:rsidP="00D60720">
      <w:pPr>
        <w:spacing w:line="360" w:lineRule="auto"/>
        <w:jc w:val="both"/>
        <w:rPr>
          <w:rFonts w:ascii="Arial" w:eastAsia="Calibri" w:hAnsi="Arial" w:cs="Arial"/>
        </w:rPr>
      </w:pPr>
    </w:p>
    <w:p w14:paraId="13E354EF" w14:textId="101ACA6F" w:rsidR="00143B19" w:rsidRDefault="00F33ABC" w:rsidP="00D60720">
      <w:pPr>
        <w:spacing w:line="360" w:lineRule="auto"/>
        <w:jc w:val="both"/>
        <w:rPr>
          <w:rFonts w:ascii="Arial" w:eastAsia="Calibri" w:hAnsi="Arial" w:cs="Arial"/>
        </w:rPr>
      </w:pPr>
      <w:r w:rsidRPr="00F33ABC">
        <w:rPr>
          <w:rFonts w:ascii="Arial" w:eastAsia="Calibri" w:hAnsi="Arial" w:cs="Arial"/>
        </w:rPr>
        <w:t>Este ciclo de medidas y contramedidas ha generado cambios estructurales en las cadenas de suministro globales, incentivando la relocalización de plantas productivas hacia América del Norte y el sudeste asiático</w:t>
      </w:r>
      <w:r w:rsidR="005C4B8C">
        <w:rPr>
          <w:rFonts w:ascii="Arial" w:eastAsia="Calibri" w:hAnsi="Arial" w:cs="Arial"/>
        </w:rPr>
        <w:t>.</w:t>
      </w:r>
    </w:p>
    <w:p w14:paraId="58D24A8D" w14:textId="77777777" w:rsidR="00E728EB" w:rsidRDefault="00E728EB" w:rsidP="00D60720">
      <w:pPr>
        <w:spacing w:line="360" w:lineRule="auto"/>
        <w:jc w:val="both"/>
        <w:rPr>
          <w:rFonts w:ascii="Arial" w:eastAsia="Calibri" w:hAnsi="Arial" w:cs="Arial"/>
        </w:rPr>
      </w:pPr>
    </w:p>
    <w:p w14:paraId="14D5CB52" w14:textId="77777777" w:rsidR="005C4B8C" w:rsidRDefault="005C4B8C" w:rsidP="00D60720">
      <w:pPr>
        <w:spacing w:line="360" w:lineRule="auto"/>
        <w:jc w:val="both"/>
        <w:rPr>
          <w:rFonts w:ascii="Arial" w:eastAsia="Calibri" w:hAnsi="Arial" w:cs="Arial"/>
        </w:rPr>
      </w:pPr>
      <w:r w:rsidRPr="005C4B8C">
        <w:rPr>
          <w:rFonts w:ascii="Arial" w:eastAsia="Calibri" w:hAnsi="Arial" w:cs="Arial"/>
        </w:rPr>
        <w:t>México, por su posición geográfica y su red de tratados comerciales, se ha convertido en uno de los principales beneficiarios indirectos de esta disputa, al captar flujos crecientes de inversión extranjera en manufactura avanzada, logística y agroindustria.</w:t>
      </w:r>
    </w:p>
    <w:p w14:paraId="0607DB75" w14:textId="77777777" w:rsidR="00FC2D3D" w:rsidRPr="005C4B8C" w:rsidRDefault="00FC2D3D" w:rsidP="00D60720">
      <w:pPr>
        <w:spacing w:line="360" w:lineRule="auto"/>
        <w:jc w:val="both"/>
        <w:rPr>
          <w:rFonts w:ascii="Arial" w:eastAsia="Calibri" w:hAnsi="Arial" w:cs="Arial"/>
        </w:rPr>
      </w:pPr>
    </w:p>
    <w:p w14:paraId="68E5D2D1" w14:textId="77777777" w:rsidR="005C4B8C" w:rsidRDefault="005C4B8C" w:rsidP="00D60720">
      <w:pPr>
        <w:spacing w:line="360" w:lineRule="auto"/>
        <w:jc w:val="both"/>
        <w:rPr>
          <w:rFonts w:ascii="Arial" w:eastAsia="Calibri" w:hAnsi="Arial" w:cs="Arial"/>
        </w:rPr>
      </w:pPr>
      <w:r w:rsidRPr="005C4B8C">
        <w:rPr>
          <w:rFonts w:ascii="Arial" w:eastAsia="Calibri" w:hAnsi="Arial" w:cs="Arial"/>
        </w:rPr>
        <w:t>De acuerdo con la UNCTAD (World Investment Report 2025), México figura ya entre los 10 países más atractivos del mundo para la relocalización industrial, junto con Vietnam, India y Polonia.</w:t>
      </w:r>
    </w:p>
    <w:p w14:paraId="727F1AED" w14:textId="41BA135B" w:rsidR="005C4B8C" w:rsidRDefault="005C4B8C" w:rsidP="00D60720">
      <w:pPr>
        <w:spacing w:line="360" w:lineRule="auto"/>
        <w:jc w:val="both"/>
        <w:rPr>
          <w:rFonts w:ascii="Arial" w:eastAsia="Calibri" w:hAnsi="Arial" w:cs="Arial"/>
        </w:rPr>
      </w:pPr>
      <w:r w:rsidRPr="005C4B8C">
        <w:rPr>
          <w:rFonts w:ascii="Arial" w:eastAsia="Calibri" w:hAnsi="Arial" w:cs="Arial"/>
        </w:rPr>
        <w:t>Sin embargo, la continuidad de tensiones arancelarias mantiene presiones sobre los precios de insumos industriales y riesgos de fragmentación comercial, lo que exige estrategias nacionales y estatales para fortalecer la resiliencia logística y productiva.</w:t>
      </w:r>
    </w:p>
    <w:p w14:paraId="35A9C8DC" w14:textId="77777777" w:rsidR="00E728EB" w:rsidRPr="00143B19" w:rsidRDefault="00E728EB" w:rsidP="00D60720">
      <w:pPr>
        <w:spacing w:line="360" w:lineRule="auto"/>
        <w:jc w:val="both"/>
        <w:rPr>
          <w:rFonts w:ascii="Arial" w:eastAsia="Calibri" w:hAnsi="Arial" w:cs="Arial"/>
        </w:rPr>
      </w:pPr>
    </w:p>
    <w:p w14:paraId="063891AB" w14:textId="3C691414" w:rsidR="008921A4" w:rsidRDefault="008921A4" w:rsidP="00D60720">
      <w:pPr>
        <w:spacing w:line="360" w:lineRule="auto"/>
        <w:jc w:val="both"/>
        <w:rPr>
          <w:rFonts w:ascii="Arial" w:hAnsi="Arial" w:cs="Arial"/>
        </w:rPr>
      </w:pPr>
      <w:r>
        <w:rPr>
          <w:rFonts w:ascii="Arial" w:hAnsi="Arial" w:cs="Arial"/>
        </w:rPr>
        <w:t>En lo que se refiere a Política Monetaria, t</w:t>
      </w:r>
      <w:r w:rsidRPr="008921A4">
        <w:rPr>
          <w:rFonts w:ascii="Arial" w:hAnsi="Arial" w:cs="Arial"/>
        </w:rPr>
        <w:t>ras un periodo prolongado de tasas de interés elevadas (2022–2024), los principales bancos centrales han iniciado una fase de relajamiento monetario gradual.</w:t>
      </w:r>
    </w:p>
    <w:p w14:paraId="77BD22AF" w14:textId="77777777" w:rsidR="00E728EB" w:rsidRPr="008921A4" w:rsidRDefault="00E728EB" w:rsidP="00D60720">
      <w:pPr>
        <w:spacing w:line="360" w:lineRule="auto"/>
        <w:jc w:val="both"/>
        <w:rPr>
          <w:rFonts w:ascii="Arial" w:hAnsi="Arial" w:cs="Arial"/>
        </w:rPr>
      </w:pPr>
    </w:p>
    <w:p w14:paraId="064F27A0" w14:textId="713BF4F6" w:rsidR="00976AEC" w:rsidRDefault="008921A4" w:rsidP="00D60720">
      <w:pPr>
        <w:spacing w:line="360" w:lineRule="auto"/>
        <w:jc w:val="both"/>
        <w:rPr>
          <w:rFonts w:ascii="Arial" w:hAnsi="Arial" w:cs="Arial"/>
        </w:rPr>
      </w:pPr>
      <w:r w:rsidRPr="008921A4">
        <w:rPr>
          <w:rFonts w:ascii="Arial" w:hAnsi="Arial" w:cs="Arial"/>
        </w:rPr>
        <w:t>La Reserva Federal de Estados Unidos (FED) comenzó</w:t>
      </w:r>
      <w:r>
        <w:rPr>
          <w:rFonts w:ascii="Arial" w:hAnsi="Arial" w:cs="Arial"/>
        </w:rPr>
        <w:t xml:space="preserve"> recientemente</w:t>
      </w:r>
      <w:r w:rsidRPr="008921A4">
        <w:rPr>
          <w:rFonts w:ascii="Arial" w:hAnsi="Arial" w:cs="Arial"/>
        </w:rPr>
        <w:t xml:space="preserve"> a reducir su tasa de referencia, que había alcanzado </w:t>
      </w:r>
      <w:r w:rsidR="00976AEC">
        <w:rPr>
          <w:rFonts w:ascii="Arial" w:hAnsi="Arial" w:cs="Arial"/>
        </w:rPr>
        <w:t xml:space="preserve">hasta un </w:t>
      </w:r>
      <w:r w:rsidRPr="008921A4">
        <w:rPr>
          <w:rFonts w:ascii="Arial" w:hAnsi="Arial" w:cs="Arial"/>
        </w:rPr>
        <w:t>5.5%, situándo</w:t>
      </w:r>
      <w:r>
        <w:rPr>
          <w:rFonts w:ascii="Arial" w:hAnsi="Arial" w:cs="Arial"/>
        </w:rPr>
        <w:t xml:space="preserve">se </w:t>
      </w:r>
      <w:r w:rsidR="00A608A5">
        <w:rPr>
          <w:rFonts w:ascii="Arial" w:hAnsi="Arial" w:cs="Arial"/>
        </w:rPr>
        <w:t>actualmente entre un 3.75% y un</w:t>
      </w:r>
      <w:r w:rsidRPr="008921A4">
        <w:rPr>
          <w:rFonts w:ascii="Arial" w:hAnsi="Arial" w:cs="Arial"/>
        </w:rPr>
        <w:t xml:space="preserve"> 4 %</w:t>
      </w:r>
      <w:r w:rsidR="00A608A5">
        <w:rPr>
          <w:rFonts w:ascii="Arial" w:hAnsi="Arial" w:cs="Arial"/>
        </w:rPr>
        <w:t xml:space="preserve"> </w:t>
      </w:r>
      <w:r>
        <w:rPr>
          <w:rFonts w:ascii="Arial" w:hAnsi="Arial" w:cs="Arial"/>
        </w:rPr>
        <w:t>con miras a seguir recortando en 2026</w:t>
      </w:r>
      <w:r w:rsidR="00976AEC">
        <w:rPr>
          <w:rFonts w:ascii="Arial" w:hAnsi="Arial" w:cs="Arial"/>
        </w:rPr>
        <w:t xml:space="preserve">. </w:t>
      </w:r>
      <w:r w:rsidR="00976AEC" w:rsidRPr="00976AEC">
        <w:rPr>
          <w:rFonts w:ascii="Arial" w:hAnsi="Arial" w:cs="Arial"/>
        </w:rPr>
        <w:t>El Banco Central Europeo y el Banco de Inglaterra siguieron la misma tendencia, reduciendo sus tasas para sostener el crecimiento ante señales de desaceleración.</w:t>
      </w:r>
    </w:p>
    <w:p w14:paraId="4FAABD55" w14:textId="77777777" w:rsidR="00E728EB" w:rsidRPr="00976AEC" w:rsidRDefault="00E728EB" w:rsidP="00D60720">
      <w:pPr>
        <w:spacing w:line="360" w:lineRule="auto"/>
        <w:jc w:val="both"/>
        <w:rPr>
          <w:rFonts w:ascii="Arial" w:hAnsi="Arial" w:cs="Arial"/>
        </w:rPr>
      </w:pPr>
    </w:p>
    <w:p w14:paraId="25AFE783" w14:textId="374CEDEF" w:rsidR="00976AEC" w:rsidRDefault="00976AEC" w:rsidP="00D60720">
      <w:pPr>
        <w:spacing w:line="360" w:lineRule="auto"/>
        <w:jc w:val="both"/>
        <w:rPr>
          <w:rFonts w:ascii="Arial" w:hAnsi="Arial" w:cs="Arial"/>
        </w:rPr>
      </w:pPr>
      <w:r>
        <w:rPr>
          <w:rFonts w:ascii="Arial" w:hAnsi="Arial" w:cs="Arial"/>
        </w:rPr>
        <w:t>La</w:t>
      </w:r>
      <w:r w:rsidRPr="00976AEC">
        <w:rPr>
          <w:rFonts w:ascii="Arial" w:hAnsi="Arial" w:cs="Arial"/>
        </w:rPr>
        <w:t xml:space="preserve"> reducción de tasas ha generado tres efectos principales:</w:t>
      </w:r>
    </w:p>
    <w:p w14:paraId="7B4CADF6" w14:textId="77777777" w:rsidR="00D60720" w:rsidRPr="00976AEC" w:rsidRDefault="00D60720" w:rsidP="00D60720">
      <w:pPr>
        <w:spacing w:line="360" w:lineRule="auto"/>
        <w:jc w:val="both"/>
        <w:rPr>
          <w:rFonts w:ascii="Arial" w:hAnsi="Arial" w:cs="Arial"/>
        </w:rPr>
      </w:pPr>
    </w:p>
    <w:p w14:paraId="685163E1" w14:textId="77777777" w:rsidR="00976AEC" w:rsidRPr="00976AEC" w:rsidRDefault="00976AEC" w:rsidP="00D60720">
      <w:pPr>
        <w:numPr>
          <w:ilvl w:val="0"/>
          <w:numId w:val="15"/>
        </w:numPr>
        <w:spacing w:line="360" w:lineRule="auto"/>
        <w:jc w:val="both"/>
        <w:rPr>
          <w:rFonts w:ascii="Arial" w:hAnsi="Arial" w:cs="Arial"/>
        </w:rPr>
      </w:pPr>
      <w:r w:rsidRPr="00976AEC">
        <w:rPr>
          <w:rFonts w:ascii="Arial" w:hAnsi="Arial" w:cs="Arial"/>
        </w:rPr>
        <w:t>Revaluación de activos financieros y mayor liquidez global, que favorece la inversión en economías emergentes.</w:t>
      </w:r>
    </w:p>
    <w:p w14:paraId="1571A008" w14:textId="77777777" w:rsidR="00976AEC" w:rsidRPr="00976AEC" w:rsidRDefault="00976AEC" w:rsidP="00D60720">
      <w:pPr>
        <w:numPr>
          <w:ilvl w:val="0"/>
          <w:numId w:val="15"/>
        </w:numPr>
        <w:spacing w:line="360" w:lineRule="auto"/>
        <w:jc w:val="both"/>
        <w:rPr>
          <w:rFonts w:ascii="Arial" w:hAnsi="Arial" w:cs="Arial"/>
        </w:rPr>
      </w:pPr>
      <w:r w:rsidRPr="00976AEC">
        <w:rPr>
          <w:rFonts w:ascii="Arial" w:hAnsi="Arial" w:cs="Arial"/>
        </w:rPr>
        <w:t>Moderación del costo del endeudamiento público y privado, lo que mejora la sostenibilidad de las finanzas gubernamentales.</w:t>
      </w:r>
    </w:p>
    <w:p w14:paraId="43151EF5" w14:textId="26AEB467" w:rsidR="00976AEC" w:rsidRDefault="00976AEC" w:rsidP="00D60720">
      <w:pPr>
        <w:numPr>
          <w:ilvl w:val="0"/>
          <w:numId w:val="15"/>
        </w:numPr>
        <w:spacing w:line="360" w:lineRule="auto"/>
        <w:jc w:val="both"/>
        <w:rPr>
          <w:rFonts w:ascii="Arial" w:hAnsi="Arial" w:cs="Arial"/>
        </w:rPr>
      </w:pPr>
      <w:r w:rsidRPr="00976AEC">
        <w:rPr>
          <w:rFonts w:ascii="Arial" w:hAnsi="Arial" w:cs="Arial"/>
        </w:rPr>
        <w:t>Apreciación de monedas emergentes</w:t>
      </w:r>
      <w:r>
        <w:rPr>
          <w:rFonts w:ascii="Arial" w:hAnsi="Arial" w:cs="Arial"/>
        </w:rPr>
        <w:t xml:space="preserve"> como lo ha sido</w:t>
      </w:r>
      <w:r w:rsidRPr="00976AEC">
        <w:rPr>
          <w:rFonts w:ascii="Arial" w:hAnsi="Arial" w:cs="Arial"/>
        </w:rPr>
        <w:t xml:space="preserve"> el peso mexicano, apoyada también por los flujos de capital derivados del </w:t>
      </w:r>
      <w:r w:rsidRPr="00976AEC">
        <w:rPr>
          <w:rFonts w:ascii="Arial" w:hAnsi="Arial" w:cs="Arial"/>
          <w:i/>
          <w:iCs/>
        </w:rPr>
        <w:t>nearshoring</w:t>
      </w:r>
      <w:r>
        <w:rPr>
          <w:rFonts w:ascii="Arial" w:hAnsi="Arial" w:cs="Arial"/>
        </w:rPr>
        <w:t xml:space="preserve"> y </w:t>
      </w:r>
      <w:r w:rsidR="00AC7FF1">
        <w:rPr>
          <w:rFonts w:ascii="Arial" w:hAnsi="Arial" w:cs="Arial"/>
        </w:rPr>
        <w:t>la volatilidad arancelaria.</w:t>
      </w:r>
    </w:p>
    <w:p w14:paraId="5C1035DF" w14:textId="77777777" w:rsidR="00E728EB" w:rsidRPr="00976AEC" w:rsidRDefault="00E728EB" w:rsidP="00D60720">
      <w:pPr>
        <w:spacing w:line="360" w:lineRule="auto"/>
        <w:ind w:left="720"/>
        <w:jc w:val="both"/>
        <w:rPr>
          <w:rFonts w:ascii="Arial" w:hAnsi="Arial" w:cs="Arial"/>
        </w:rPr>
      </w:pPr>
    </w:p>
    <w:p w14:paraId="1C5184DB" w14:textId="14CD2A14" w:rsidR="00976AEC" w:rsidRDefault="00976AEC" w:rsidP="00D60720">
      <w:pPr>
        <w:spacing w:line="360" w:lineRule="auto"/>
        <w:jc w:val="both"/>
        <w:rPr>
          <w:rFonts w:ascii="Arial" w:hAnsi="Arial" w:cs="Arial"/>
        </w:rPr>
      </w:pPr>
      <w:r w:rsidRPr="00976AEC">
        <w:rPr>
          <w:rFonts w:ascii="Arial" w:hAnsi="Arial" w:cs="Arial"/>
        </w:rPr>
        <w:t>México ha mantenido una política monetaria prudente</w:t>
      </w:r>
      <w:r w:rsidR="00AC7FF1">
        <w:rPr>
          <w:rFonts w:ascii="Arial" w:hAnsi="Arial" w:cs="Arial"/>
        </w:rPr>
        <w:t>, con recortes conservadores</w:t>
      </w:r>
      <w:r w:rsidRPr="00976AEC">
        <w:rPr>
          <w:rFonts w:ascii="Arial" w:hAnsi="Arial" w:cs="Arial"/>
        </w:rPr>
        <w:t>, lo que permite conservar estabilidad cambiaria y control inflacionario pese a la volatilidad global.</w:t>
      </w:r>
    </w:p>
    <w:p w14:paraId="26205700" w14:textId="308342BE" w:rsidR="000A13C2" w:rsidRDefault="00DC5EDC" w:rsidP="00D60720">
      <w:pPr>
        <w:spacing w:line="360" w:lineRule="auto"/>
        <w:jc w:val="both"/>
        <w:rPr>
          <w:rFonts w:ascii="Arial" w:hAnsi="Arial" w:cs="Arial"/>
        </w:rPr>
      </w:pPr>
      <w:r w:rsidRPr="00DC5EDC">
        <w:rPr>
          <w:rFonts w:ascii="Arial" w:hAnsi="Arial" w:cs="Arial"/>
        </w:rPr>
        <w:t>A nivel global, la inflación se ha reducido respecto a los picos observados entre 2022 y 2023, pero sigue siendo persistentemente superior a los objetivos históricos de los bancos centrales.</w:t>
      </w:r>
      <w:r>
        <w:rPr>
          <w:rFonts w:ascii="Arial" w:hAnsi="Arial" w:cs="Arial"/>
        </w:rPr>
        <w:t xml:space="preserve"> </w:t>
      </w:r>
      <w:r w:rsidRPr="00DC5EDC">
        <w:rPr>
          <w:rFonts w:ascii="Arial" w:hAnsi="Arial" w:cs="Arial"/>
        </w:rPr>
        <w:t>El FMI estima una inflación global promedio de 3.5% en 2026, aún por encima del 2% objetivo.</w:t>
      </w:r>
    </w:p>
    <w:p w14:paraId="6579A9E5" w14:textId="63509992" w:rsidR="00575238" w:rsidRDefault="00DC5EDC" w:rsidP="00D60720">
      <w:pPr>
        <w:spacing w:line="360" w:lineRule="auto"/>
        <w:jc w:val="both"/>
        <w:rPr>
          <w:rFonts w:ascii="Arial" w:hAnsi="Arial" w:cs="Arial"/>
        </w:rPr>
      </w:pPr>
      <w:r>
        <w:rPr>
          <w:rFonts w:ascii="Arial" w:hAnsi="Arial" w:cs="Arial"/>
        </w:rPr>
        <w:t xml:space="preserve"> </w:t>
      </w:r>
    </w:p>
    <w:p w14:paraId="7C6D9BBB" w14:textId="4F21EB66" w:rsidR="007C0AD3" w:rsidRPr="000A13C2" w:rsidRDefault="000A13C2" w:rsidP="00D60720">
      <w:pPr>
        <w:spacing w:line="360" w:lineRule="auto"/>
        <w:jc w:val="center"/>
        <w:rPr>
          <w:rFonts w:ascii="Arial" w:hAnsi="Arial" w:cs="Arial"/>
          <w:b/>
          <w:bCs/>
        </w:rPr>
      </w:pPr>
      <w:r w:rsidRPr="000A13C2">
        <w:rPr>
          <w:rFonts w:ascii="Arial" w:hAnsi="Arial" w:cs="Arial"/>
          <w:b/>
          <w:bCs/>
        </w:rPr>
        <w:t>Evolución y Proyección Inflación Global 2021-2026</w:t>
      </w:r>
    </w:p>
    <w:p w14:paraId="23F9155B" w14:textId="77777777" w:rsidR="00766B66" w:rsidRDefault="00D45426" w:rsidP="00D60720">
      <w:pPr>
        <w:spacing w:line="360" w:lineRule="auto"/>
        <w:jc w:val="both"/>
        <w:rPr>
          <w:rFonts w:ascii="Arial" w:hAnsi="Arial" w:cs="Arial"/>
        </w:rPr>
      </w:pPr>
      <w:r>
        <w:rPr>
          <w:rFonts w:ascii="Arial" w:hAnsi="Arial" w:cs="Arial"/>
          <w:i/>
          <w:iCs/>
          <w:sz w:val="20"/>
          <w:szCs w:val="20"/>
        </w:rPr>
        <w:t xml:space="preserve">        </w:t>
      </w:r>
      <w:r w:rsidR="00DC5EDC">
        <w:rPr>
          <w:rFonts w:ascii="Arial" w:hAnsi="Arial" w:cs="Arial"/>
          <w:noProof/>
        </w:rPr>
        <w:drawing>
          <wp:inline distT="0" distB="0" distL="0" distR="0" wp14:anchorId="518C1534" wp14:editId="78536237">
            <wp:extent cx="4857136" cy="3239103"/>
            <wp:effectExtent l="0" t="0" r="635" b="0"/>
            <wp:docPr id="120159878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40540" cy="3294723"/>
                    </a:xfrm>
                    <a:prstGeom prst="rect">
                      <a:avLst/>
                    </a:prstGeom>
                    <a:noFill/>
                  </pic:spPr>
                </pic:pic>
              </a:graphicData>
            </a:graphic>
          </wp:inline>
        </w:drawing>
      </w:r>
    </w:p>
    <w:p w14:paraId="4C90BC13" w14:textId="5E47B6D7" w:rsidR="00DC5EDC" w:rsidRDefault="00D45426" w:rsidP="00D60720">
      <w:pPr>
        <w:spacing w:line="360" w:lineRule="auto"/>
        <w:jc w:val="both"/>
        <w:rPr>
          <w:rFonts w:ascii="Arial" w:hAnsi="Arial" w:cs="Arial"/>
          <w:i/>
          <w:iCs/>
          <w:sz w:val="20"/>
          <w:szCs w:val="20"/>
        </w:rPr>
      </w:pPr>
      <w:r>
        <w:rPr>
          <w:rFonts w:ascii="Arial" w:hAnsi="Arial" w:cs="Arial"/>
          <w:i/>
          <w:iCs/>
          <w:sz w:val="20"/>
          <w:szCs w:val="20"/>
        </w:rPr>
        <w:t xml:space="preserve">       Fuente: FMI, 202</w:t>
      </w:r>
      <w:r w:rsidR="000A13C2">
        <w:rPr>
          <w:rFonts w:ascii="Arial" w:hAnsi="Arial" w:cs="Arial"/>
          <w:i/>
          <w:iCs/>
          <w:sz w:val="20"/>
          <w:szCs w:val="20"/>
        </w:rPr>
        <w:t>5</w:t>
      </w:r>
      <w:r>
        <w:rPr>
          <w:rFonts w:ascii="Arial" w:hAnsi="Arial" w:cs="Arial"/>
          <w:i/>
          <w:iCs/>
          <w:sz w:val="20"/>
          <w:szCs w:val="20"/>
        </w:rPr>
        <w:t>.</w:t>
      </w:r>
      <w:r w:rsidR="00904FFD">
        <w:rPr>
          <w:rFonts w:ascii="Arial" w:hAnsi="Arial" w:cs="Arial"/>
          <w:i/>
          <w:iCs/>
          <w:sz w:val="20"/>
          <w:szCs w:val="20"/>
        </w:rPr>
        <w:t xml:space="preserve"> Elaboración propia.</w:t>
      </w:r>
    </w:p>
    <w:p w14:paraId="37A4AC5C" w14:textId="77777777" w:rsidR="007F3CED" w:rsidRPr="00D45426" w:rsidRDefault="007F3CED" w:rsidP="00D60720">
      <w:pPr>
        <w:spacing w:line="360" w:lineRule="auto"/>
        <w:jc w:val="both"/>
        <w:rPr>
          <w:rFonts w:ascii="Arial" w:hAnsi="Arial" w:cs="Arial"/>
          <w:i/>
          <w:iCs/>
          <w:sz w:val="20"/>
          <w:szCs w:val="20"/>
        </w:rPr>
      </w:pPr>
    </w:p>
    <w:p w14:paraId="6C077202" w14:textId="36A43FC0" w:rsidR="00976AEC" w:rsidRDefault="00D45426" w:rsidP="00D60720">
      <w:pPr>
        <w:spacing w:line="360" w:lineRule="auto"/>
        <w:jc w:val="both"/>
        <w:rPr>
          <w:rFonts w:ascii="Arial" w:hAnsi="Arial" w:cs="Arial"/>
        </w:rPr>
      </w:pPr>
      <w:r w:rsidRPr="00D45426">
        <w:rPr>
          <w:rFonts w:ascii="Arial" w:hAnsi="Arial" w:cs="Arial"/>
        </w:rPr>
        <w:t>Otro elemento central del entorno económico internacional es la revisión y modernización del Tratado entre México, Estados Unidos y Canadá (T-MEC), cuyo primer ciclo de evaluación quinquenal se llevará a cabo en 2026.La revisión del acuerdo es de gran relevancia para el comercio mexicano, pues más del 80% de las exportaciones nacionales se destinan al mercado norteamericano.</w:t>
      </w:r>
    </w:p>
    <w:p w14:paraId="7FFAD679" w14:textId="77777777" w:rsidR="007F3CED" w:rsidRDefault="007F3CED" w:rsidP="00D60720">
      <w:pPr>
        <w:spacing w:line="360" w:lineRule="auto"/>
        <w:jc w:val="both"/>
        <w:rPr>
          <w:rFonts w:ascii="Arial" w:hAnsi="Arial" w:cs="Arial"/>
        </w:rPr>
      </w:pPr>
    </w:p>
    <w:p w14:paraId="4ECE9A54" w14:textId="35D0EF1A" w:rsidR="007C0AD3" w:rsidRPr="007C0AD3" w:rsidRDefault="007C0AD3" w:rsidP="00D60720">
      <w:pPr>
        <w:spacing w:line="360" w:lineRule="auto"/>
        <w:jc w:val="both"/>
        <w:rPr>
          <w:rFonts w:ascii="Arial" w:hAnsi="Arial" w:cs="Arial"/>
        </w:rPr>
      </w:pPr>
      <w:r w:rsidRPr="007C0AD3">
        <w:rPr>
          <w:rFonts w:ascii="Arial" w:hAnsi="Arial" w:cs="Arial"/>
        </w:rPr>
        <w:t>En conjunto, este entorno internacional configura un escenario de estabilidad relativa con riesgos latentes, donde la prudencia fiscal, la planeación multianual y la atracción de inversión productiva serán determinantes para sostener el crecimiento económico y el equilibrio presupuestario de Michoacán.</w:t>
      </w:r>
    </w:p>
    <w:p w14:paraId="181896DF" w14:textId="77777777" w:rsidR="0071171E" w:rsidRDefault="0071171E" w:rsidP="00D60720">
      <w:pPr>
        <w:spacing w:line="360" w:lineRule="auto"/>
        <w:jc w:val="both"/>
        <w:rPr>
          <w:rFonts w:ascii="Arial" w:hAnsi="Arial" w:cs="Arial"/>
        </w:rPr>
      </w:pPr>
    </w:p>
    <w:p w14:paraId="2D13E01A" w14:textId="0044EAD2" w:rsidR="0071171E" w:rsidRDefault="0071171E" w:rsidP="00D60720">
      <w:pPr>
        <w:pStyle w:val="Prrafodelista"/>
        <w:numPr>
          <w:ilvl w:val="0"/>
          <w:numId w:val="13"/>
        </w:numPr>
        <w:spacing w:line="360" w:lineRule="auto"/>
        <w:jc w:val="both"/>
        <w:rPr>
          <w:rFonts w:ascii="Arial" w:hAnsi="Arial" w:cs="Arial"/>
          <w:b/>
          <w:bCs/>
          <w:u w:val="single"/>
        </w:rPr>
      </w:pPr>
      <w:r w:rsidRPr="007F3CED">
        <w:rPr>
          <w:rFonts w:ascii="Arial" w:hAnsi="Arial" w:cs="Arial"/>
          <w:b/>
          <w:bCs/>
          <w:u w:val="single"/>
        </w:rPr>
        <w:t>Entorno Económico Nacional</w:t>
      </w:r>
    </w:p>
    <w:p w14:paraId="446847CF" w14:textId="77777777" w:rsidR="00D84CE9" w:rsidRPr="007F3CED" w:rsidRDefault="00D84CE9" w:rsidP="00D60720">
      <w:pPr>
        <w:pStyle w:val="Prrafodelista"/>
        <w:spacing w:line="360" w:lineRule="auto"/>
        <w:jc w:val="both"/>
        <w:rPr>
          <w:rFonts w:ascii="Arial" w:hAnsi="Arial" w:cs="Arial"/>
          <w:b/>
          <w:bCs/>
          <w:u w:val="single"/>
        </w:rPr>
      </w:pPr>
    </w:p>
    <w:p w14:paraId="72BC07C5" w14:textId="0785FDFE" w:rsidR="0071171E" w:rsidRDefault="00D84CE9" w:rsidP="00D60720">
      <w:pPr>
        <w:spacing w:line="360" w:lineRule="auto"/>
        <w:jc w:val="both"/>
        <w:rPr>
          <w:rFonts w:ascii="Arial" w:hAnsi="Arial" w:cs="Arial"/>
          <w:lang w:val="es-ES" w:eastAsia="es-ES"/>
        </w:rPr>
      </w:pPr>
      <w:r w:rsidRPr="00D84CE9">
        <w:rPr>
          <w:rFonts w:ascii="Arial" w:hAnsi="Arial" w:cs="Arial"/>
          <w:lang w:val="es-ES" w:eastAsia="es-ES"/>
        </w:rPr>
        <w:t>La economía mexicana cerró el 2024 con un crecimiento anual de 1.2</w:t>
      </w:r>
      <w:r w:rsidR="00535A41">
        <w:rPr>
          <w:rFonts w:ascii="Arial" w:hAnsi="Arial" w:cs="Arial"/>
          <w:lang w:val="es-ES" w:eastAsia="es-ES"/>
        </w:rPr>
        <w:t>%</w:t>
      </w:r>
      <w:r w:rsidRPr="00D84CE9">
        <w:rPr>
          <w:rFonts w:ascii="Arial" w:hAnsi="Arial" w:cs="Arial"/>
          <w:lang w:val="es-ES" w:eastAsia="es-ES"/>
        </w:rPr>
        <w:t>, en términos reales y con cifras desestacionalizadas, menor a la estimación oportuna del PIB publicada en enero de 2025.</w:t>
      </w:r>
    </w:p>
    <w:p w14:paraId="767AD817" w14:textId="77777777" w:rsidR="00FC2D3D" w:rsidRDefault="00FC2D3D" w:rsidP="00D60720">
      <w:pPr>
        <w:spacing w:line="360" w:lineRule="auto"/>
        <w:jc w:val="both"/>
        <w:rPr>
          <w:rFonts w:ascii="Arial" w:hAnsi="Arial" w:cs="Arial"/>
          <w:b/>
          <w:bCs/>
          <w:u w:val="single"/>
        </w:rPr>
      </w:pPr>
    </w:p>
    <w:p w14:paraId="6490AF72" w14:textId="3A6DA7CE" w:rsidR="00766B66" w:rsidRDefault="00AF55A5" w:rsidP="00D60720">
      <w:pPr>
        <w:pStyle w:val="NormalWeb"/>
        <w:spacing w:before="0" w:beforeAutospacing="0" w:after="0" w:afterAutospacing="0" w:line="360" w:lineRule="auto"/>
        <w:jc w:val="both"/>
        <w:rPr>
          <w:rFonts w:ascii="Arial" w:hAnsi="Arial" w:cs="Arial"/>
        </w:rPr>
      </w:pPr>
      <w:r w:rsidRPr="00AF55A5">
        <w:rPr>
          <w:rFonts w:ascii="Arial" w:hAnsi="Arial" w:cs="Arial"/>
        </w:rPr>
        <w:t xml:space="preserve">De acuerdo con la </w:t>
      </w:r>
      <w:r w:rsidRPr="00AF55A5">
        <w:rPr>
          <w:rStyle w:val="Textoennegrita"/>
          <w:rFonts w:ascii="Arial" w:hAnsi="Arial" w:cs="Arial"/>
          <w:b w:val="0"/>
          <w:bCs w:val="0"/>
        </w:rPr>
        <w:t>Secretaría de Economía</w:t>
      </w:r>
      <w:r w:rsidRPr="00AF55A5">
        <w:rPr>
          <w:rFonts w:ascii="Arial" w:hAnsi="Arial" w:cs="Arial"/>
        </w:rPr>
        <w:t xml:space="preserve">, México captó en 2024 </w:t>
      </w:r>
      <w:r w:rsidRPr="00AF55A5">
        <w:rPr>
          <w:rStyle w:val="Textoennegrita"/>
          <w:rFonts w:ascii="Arial" w:hAnsi="Arial" w:cs="Arial"/>
          <w:b w:val="0"/>
          <w:bCs w:val="0"/>
        </w:rPr>
        <w:t>36,058 millones</w:t>
      </w:r>
      <w:r w:rsidR="00766B66">
        <w:rPr>
          <w:rStyle w:val="Textoennegrita"/>
          <w:rFonts w:ascii="Arial" w:hAnsi="Arial" w:cs="Arial"/>
          <w:b w:val="0"/>
          <w:bCs w:val="0"/>
        </w:rPr>
        <w:t xml:space="preserve"> de dólares</w:t>
      </w:r>
      <w:r w:rsidRPr="00AF55A5">
        <w:rPr>
          <w:rFonts w:ascii="Arial" w:hAnsi="Arial" w:cs="Arial"/>
        </w:rPr>
        <w:t xml:space="preserve"> de inversión extranjera directa, lo que representa un incremento del 2.2% respecto al año anterior.</w:t>
      </w:r>
      <w:r w:rsidR="00766B66">
        <w:rPr>
          <w:rFonts w:ascii="Arial" w:hAnsi="Arial" w:cs="Arial"/>
        </w:rPr>
        <w:t xml:space="preserve"> </w:t>
      </w:r>
      <w:r w:rsidR="00766B66" w:rsidRPr="00766B66">
        <w:rPr>
          <w:rFonts w:ascii="Arial" w:hAnsi="Arial" w:cs="Arial"/>
        </w:rPr>
        <w:t>Los principales países de origen de la inversión siguen siendo:</w:t>
      </w:r>
    </w:p>
    <w:p w14:paraId="61C0DA39" w14:textId="77777777" w:rsidR="00FC2D3D" w:rsidRPr="00766B66" w:rsidRDefault="00FC2D3D" w:rsidP="00D60720">
      <w:pPr>
        <w:pStyle w:val="NormalWeb"/>
        <w:spacing w:before="0" w:beforeAutospacing="0" w:after="0" w:afterAutospacing="0" w:line="360" w:lineRule="auto"/>
        <w:jc w:val="both"/>
        <w:rPr>
          <w:rFonts w:ascii="Arial" w:hAnsi="Arial" w:cs="Arial"/>
        </w:rPr>
      </w:pPr>
    </w:p>
    <w:p w14:paraId="1DA79A88" w14:textId="1BCB5BF6" w:rsidR="00766B66" w:rsidRPr="00766B66" w:rsidRDefault="00766B66" w:rsidP="00D60720">
      <w:pPr>
        <w:pStyle w:val="NormalWeb"/>
        <w:numPr>
          <w:ilvl w:val="0"/>
          <w:numId w:val="19"/>
        </w:numPr>
        <w:spacing w:before="0" w:beforeAutospacing="0" w:after="0" w:afterAutospacing="0" w:line="360" w:lineRule="auto"/>
        <w:jc w:val="both"/>
        <w:rPr>
          <w:rFonts w:ascii="Arial" w:hAnsi="Arial" w:cs="Arial"/>
        </w:rPr>
      </w:pPr>
      <w:r w:rsidRPr="00766B66">
        <w:rPr>
          <w:rFonts w:ascii="Arial" w:hAnsi="Arial" w:cs="Arial"/>
        </w:rPr>
        <w:t>Estados Unidos (48.3% del total)</w:t>
      </w:r>
    </w:p>
    <w:p w14:paraId="41E01F62" w14:textId="6393A2D7" w:rsidR="00766B66" w:rsidRPr="00766B66" w:rsidRDefault="00766B66" w:rsidP="00D60720">
      <w:pPr>
        <w:pStyle w:val="NormalWeb"/>
        <w:numPr>
          <w:ilvl w:val="0"/>
          <w:numId w:val="19"/>
        </w:numPr>
        <w:spacing w:before="0" w:beforeAutospacing="0" w:after="0" w:afterAutospacing="0" w:line="360" w:lineRule="auto"/>
        <w:jc w:val="both"/>
        <w:rPr>
          <w:rFonts w:ascii="Arial" w:hAnsi="Arial" w:cs="Arial"/>
        </w:rPr>
      </w:pPr>
      <w:r w:rsidRPr="00766B66">
        <w:rPr>
          <w:rFonts w:ascii="Arial" w:hAnsi="Arial" w:cs="Arial"/>
        </w:rPr>
        <w:t>España (10.4%)</w:t>
      </w:r>
    </w:p>
    <w:p w14:paraId="4E20D37C" w14:textId="31DAEDF8" w:rsidR="00766B66" w:rsidRPr="00766B66" w:rsidRDefault="00766B66" w:rsidP="00D60720">
      <w:pPr>
        <w:pStyle w:val="NormalWeb"/>
        <w:numPr>
          <w:ilvl w:val="0"/>
          <w:numId w:val="19"/>
        </w:numPr>
        <w:spacing w:before="0" w:beforeAutospacing="0" w:after="0" w:afterAutospacing="0" w:line="360" w:lineRule="auto"/>
        <w:jc w:val="both"/>
        <w:rPr>
          <w:rFonts w:ascii="Arial" w:hAnsi="Arial" w:cs="Arial"/>
        </w:rPr>
      </w:pPr>
      <w:r w:rsidRPr="00766B66">
        <w:rPr>
          <w:rFonts w:ascii="Arial" w:hAnsi="Arial" w:cs="Arial"/>
        </w:rPr>
        <w:t>Canadá (6.5%)</w:t>
      </w:r>
    </w:p>
    <w:p w14:paraId="5C5E1091" w14:textId="7FE4A2ED" w:rsidR="00766B66" w:rsidRDefault="00766B66" w:rsidP="00D60720">
      <w:pPr>
        <w:pStyle w:val="NormalWeb"/>
        <w:numPr>
          <w:ilvl w:val="0"/>
          <w:numId w:val="19"/>
        </w:numPr>
        <w:spacing w:before="0" w:beforeAutospacing="0" w:after="0" w:afterAutospacing="0" w:line="360" w:lineRule="auto"/>
        <w:jc w:val="both"/>
        <w:rPr>
          <w:rFonts w:ascii="Arial" w:hAnsi="Arial" w:cs="Arial"/>
        </w:rPr>
      </w:pPr>
      <w:r w:rsidRPr="00766B66">
        <w:rPr>
          <w:rFonts w:ascii="Arial" w:hAnsi="Arial" w:cs="Arial"/>
        </w:rPr>
        <w:t>Alemania y Japón (5.2% y 4.8% respectivamente)</w:t>
      </w:r>
    </w:p>
    <w:p w14:paraId="3E809DE4" w14:textId="77777777" w:rsidR="00FC2D3D" w:rsidRPr="00766B66" w:rsidRDefault="00FC2D3D" w:rsidP="00FC2D3D">
      <w:pPr>
        <w:pStyle w:val="NormalWeb"/>
        <w:spacing w:before="0" w:beforeAutospacing="0" w:after="0" w:afterAutospacing="0" w:line="360" w:lineRule="auto"/>
        <w:ind w:left="720"/>
        <w:jc w:val="both"/>
        <w:rPr>
          <w:rFonts w:ascii="Arial" w:hAnsi="Arial" w:cs="Arial"/>
        </w:rPr>
      </w:pPr>
    </w:p>
    <w:p w14:paraId="6EA4BE9E" w14:textId="4131AEF5" w:rsidR="007C0AD3" w:rsidRDefault="00AF55A5" w:rsidP="00D60720">
      <w:pPr>
        <w:pStyle w:val="NormalWeb"/>
        <w:spacing w:before="0" w:beforeAutospacing="0" w:after="0" w:afterAutospacing="0" w:line="360" w:lineRule="auto"/>
        <w:jc w:val="both"/>
        <w:rPr>
          <w:rFonts w:ascii="Arial" w:hAnsi="Arial" w:cs="Arial"/>
        </w:rPr>
      </w:pPr>
      <w:r w:rsidRPr="00AF55A5">
        <w:rPr>
          <w:rFonts w:ascii="Arial" w:hAnsi="Arial" w:cs="Arial"/>
        </w:rPr>
        <w:t xml:space="preserve">Para 2026, las estimaciones de los </w:t>
      </w:r>
      <w:r w:rsidRPr="00AF55A5">
        <w:rPr>
          <w:rStyle w:val="Textoennegrita"/>
          <w:rFonts w:ascii="Arial" w:hAnsi="Arial" w:cs="Arial"/>
          <w:b w:val="0"/>
          <w:bCs w:val="0"/>
        </w:rPr>
        <w:t>Criterios Generales de Política Económica (CGPE 2026)</w:t>
      </w:r>
      <w:r w:rsidRPr="00AF55A5">
        <w:rPr>
          <w:rFonts w:ascii="Arial" w:hAnsi="Arial" w:cs="Arial"/>
        </w:rPr>
        <w:t xml:space="preserve"> ubican los flujos de IED entre </w:t>
      </w:r>
      <w:r w:rsidR="00766B66">
        <w:rPr>
          <w:rFonts w:ascii="Arial" w:hAnsi="Arial" w:cs="Arial"/>
        </w:rPr>
        <w:t>(</w:t>
      </w:r>
      <w:r w:rsidRPr="00AF55A5">
        <w:rPr>
          <w:rStyle w:val="Textoennegrita"/>
          <w:rFonts w:ascii="Arial" w:hAnsi="Arial" w:cs="Arial"/>
          <w:b w:val="0"/>
          <w:bCs w:val="0"/>
        </w:rPr>
        <w:t>USD</w:t>
      </w:r>
      <w:r w:rsidR="00766B66">
        <w:rPr>
          <w:rStyle w:val="Textoennegrita"/>
          <w:rFonts w:ascii="Arial" w:hAnsi="Arial" w:cs="Arial"/>
          <w:b w:val="0"/>
          <w:bCs w:val="0"/>
        </w:rPr>
        <w:t>)</w:t>
      </w:r>
      <w:r w:rsidRPr="00AF55A5">
        <w:rPr>
          <w:rStyle w:val="Textoennegrita"/>
          <w:rFonts w:ascii="Arial" w:hAnsi="Arial" w:cs="Arial"/>
          <w:b w:val="0"/>
          <w:bCs w:val="0"/>
        </w:rPr>
        <w:t xml:space="preserve"> 36,000 y 38,000 millones</w:t>
      </w:r>
      <w:r w:rsidRPr="00AF55A5">
        <w:rPr>
          <w:rFonts w:ascii="Arial" w:hAnsi="Arial" w:cs="Arial"/>
        </w:rPr>
        <w:t xml:space="preserve">, impulsados por el </w:t>
      </w:r>
      <w:r w:rsidRPr="00AF55A5">
        <w:rPr>
          <w:rStyle w:val="Textoennegrita"/>
          <w:rFonts w:ascii="Arial" w:hAnsi="Arial" w:cs="Arial"/>
          <w:b w:val="0"/>
          <w:bCs w:val="0"/>
        </w:rPr>
        <w:t>Plan México</w:t>
      </w:r>
      <w:r w:rsidRPr="00AF55A5">
        <w:rPr>
          <w:rFonts w:ascii="Arial" w:hAnsi="Arial" w:cs="Arial"/>
        </w:rPr>
        <w:t>, la política de relocalización industrial y los proyectos de infraestructura del Corredor Interoceánico, el Tren Maya, y la modernización de puertos y aduanas en el Pacífico.</w:t>
      </w:r>
    </w:p>
    <w:p w14:paraId="6735FDDB" w14:textId="77777777" w:rsidR="00FC2D3D" w:rsidRPr="00AF55A5" w:rsidRDefault="00FC2D3D" w:rsidP="00D60720">
      <w:pPr>
        <w:pStyle w:val="NormalWeb"/>
        <w:spacing w:before="0" w:beforeAutospacing="0" w:after="0" w:afterAutospacing="0" w:line="360" w:lineRule="auto"/>
        <w:jc w:val="both"/>
        <w:rPr>
          <w:rFonts w:ascii="Arial" w:hAnsi="Arial" w:cs="Arial"/>
        </w:rPr>
      </w:pPr>
    </w:p>
    <w:p w14:paraId="70A89046" w14:textId="77777777" w:rsidR="00AF55A5" w:rsidRDefault="00AF55A5" w:rsidP="00D60720">
      <w:pPr>
        <w:pStyle w:val="NormalWeb"/>
        <w:spacing w:before="0" w:beforeAutospacing="0" w:after="0" w:afterAutospacing="0" w:line="360" w:lineRule="auto"/>
        <w:jc w:val="both"/>
        <w:rPr>
          <w:rFonts w:ascii="Arial" w:hAnsi="Arial" w:cs="Arial"/>
        </w:rPr>
      </w:pPr>
      <w:r w:rsidRPr="00AF55A5">
        <w:rPr>
          <w:rFonts w:ascii="Arial" w:hAnsi="Arial" w:cs="Arial"/>
        </w:rPr>
        <w:t>La composición sectorial de la inversión mantiene su concentración en:</w:t>
      </w:r>
    </w:p>
    <w:p w14:paraId="1D58A615" w14:textId="77777777" w:rsidR="00FC2D3D" w:rsidRPr="00AF55A5" w:rsidRDefault="00FC2D3D" w:rsidP="00D60720">
      <w:pPr>
        <w:pStyle w:val="NormalWeb"/>
        <w:spacing w:before="0" w:beforeAutospacing="0" w:after="0" w:afterAutospacing="0" w:line="360" w:lineRule="auto"/>
        <w:jc w:val="both"/>
        <w:rPr>
          <w:rFonts w:ascii="Arial" w:hAnsi="Arial" w:cs="Arial"/>
        </w:rPr>
      </w:pPr>
    </w:p>
    <w:p w14:paraId="0DB3CE16" w14:textId="014B5CCE" w:rsidR="00AF55A5" w:rsidRPr="00AF55A5" w:rsidRDefault="00AF55A5" w:rsidP="00D60720">
      <w:pPr>
        <w:pStyle w:val="NormalWeb"/>
        <w:numPr>
          <w:ilvl w:val="0"/>
          <w:numId w:val="17"/>
        </w:numPr>
        <w:spacing w:before="0" w:beforeAutospacing="0" w:after="0" w:afterAutospacing="0" w:line="360" w:lineRule="auto"/>
        <w:jc w:val="both"/>
        <w:rPr>
          <w:rFonts w:ascii="Arial" w:hAnsi="Arial" w:cs="Arial"/>
        </w:rPr>
      </w:pPr>
      <w:r w:rsidRPr="00AF55A5">
        <w:rPr>
          <w:rStyle w:val="Textoennegrita"/>
          <w:rFonts w:ascii="Arial" w:hAnsi="Arial" w:cs="Arial"/>
          <w:b w:val="0"/>
          <w:bCs w:val="0"/>
        </w:rPr>
        <w:t>Manufactura (41% del total nacional).</w:t>
      </w:r>
    </w:p>
    <w:p w14:paraId="45F5D0D3" w14:textId="4334044E" w:rsidR="00AF55A5" w:rsidRPr="00AF55A5" w:rsidRDefault="00AF55A5" w:rsidP="00D60720">
      <w:pPr>
        <w:pStyle w:val="NormalWeb"/>
        <w:numPr>
          <w:ilvl w:val="0"/>
          <w:numId w:val="17"/>
        </w:numPr>
        <w:spacing w:before="0" w:beforeAutospacing="0" w:after="0" w:afterAutospacing="0" w:line="360" w:lineRule="auto"/>
        <w:jc w:val="both"/>
        <w:rPr>
          <w:rFonts w:ascii="Arial" w:hAnsi="Arial" w:cs="Arial"/>
        </w:rPr>
      </w:pPr>
      <w:r w:rsidRPr="00AF55A5">
        <w:rPr>
          <w:rStyle w:val="Textoennegrita"/>
          <w:rFonts w:ascii="Arial" w:hAnsi="Arial" w:cs="Arial"/>
          <w:b w:val="0"/>
          <w:bCs w:val="0"/>
        </w:rPr>
        <w:t>Servicios financieros y de seguros (15%).</w:t>
      </w:r>
    </w:p>
    <w:p w14:paraId="0258F64A" w14:textId="3D960A64" w:rsidR="00AF55A5" w:rsidRPr="00AF55A5" w:rsidRDefault="00AF55A5" w:rsidP="00D60720">
      <w:pPr>
        <w:pStyle w:val="NormalWeb"/>
        <w:numPr>
          <w:ilvl w:val="0"/>
          <w:numId w:val="17"/>
        </w:numPr>
        <w:spacing w:before="0" w:beforeAutospacing="0" w:after="0" w:afterAutospacing="0" w:line="360" w:lineRule="auto"/>
        <w:jc w:val="both"/>
        <w:rPr>
          <w:rFonts w:ascii="Arial" w:hAnsi="Arial" w:cs="Arial"/>
        </w:rPr>
      </w:pPr>
      <w:r w:rsidRPr="00AF55A5">
        <w:rPr>
          <w:rStyle w:val="Textoennegrita"/>
          <w:rFonts w:ascii="Arial" w:hAnsi="Arial" w:cs="Arial"/>
          <w:b w:val="0"/>
          <w:bCs w:val="0"/>
        </w:rPr>
        <w:t>Transporte, almacenamiento y logística (9%).</w:t>
      </w:r>
    </w:p>
    <w:p w14:paraId="29ED1AE0" w14:textId="40196C67" w:rsidR="00AF55A5" w:rsidRDefault="00AF55A5" w:rsidP="00D60720">
      <w:pPr>
        <w:pStyle w:val="NormalWeb"/>
        <w:numPr>
          <w:ilvl w:val="0"/>
          <w:numId w:val="17"/>
        </w:numPr>
        <w:spacing w:before="0" w:beforeAutospacing="0" w:after="0" w:afterAutospacing="0" w:line="360" w:lineRule="auto"/>
        <w:jc w:val="both"/>
        <w:rPr>
          <w:rStyle w:val="Textoennegrita"/>
          <w:rFonts w:ascii="Arial" w:hAnsi="Arial" w:cs="Arial"/>
          <w:b w:val="0"/>
          <w:bCs w:val="0"/>
        </w:rPr>
      </w:pPr>
      <w:r w:rsidRPr="00AF55A5">
        <w:rPr>
          <w:rStyle w:val="Textoennegrita"/>
          <w:rFonts w:ascii="Arial" w:hAnsi="Arial" w:cs="Arial"/>
          <w:b w:val="0"/>
          <w:bCs w:val="0"/>
        </w:rPr>
        <w:t>Minería, energía y agroindustria (8%).</w:t>
      </w:r>
    </w:p>
    <w:p w14:paraId="6CE84034" w14:textId="77777777" w:rsidR="00FC2D3D" w:rsidRPr="00AF55A5" w:rsidRDefault="00FC2D3D" w:rsidP="00FC2D3D">
      <w:pPr>
        <w:pStyle w:val="NormalWeb"/>
        <w:spacing w:before="0" w:beforeAutospacing="0" w:after="0" w:afterAutospacing="0" w:line="360" w:lineRule="auto"/>
        <w:ind w:left="720"/>
        <w:jc w:val="both"/>
        <w:rPr>
          <w:rFonts w:ascii="Arial" w:hAnsi="Arial" w:cs="Arial"/>
        </w:rPr>
      </w:pPr>
    </w:p>
    <w:p w14:paraId="19EA9EC3" w14:textId="24F3FD29" w:rsidR="00766B66" w:rsidRDefault="00AF55A5" w:rsidP="00D60720">
      <w:pPr>
        <w:pStyle w:val="NormalWeb"/>
        <w:spacing w:before="0" w:beforeAutospacing="0" w:after="0" w:afterAutospacing="0" w:line="360" w:lineRule="auto"/>
        <w:jc w:val="both"/>
        <w:rPr>
          <w:rFonts w:ascii="Arial" w:hAnsi="Arial" w:cs="Arial"/>
        </w:rPr>
      </w:pPr>
      <w:r w:rsidRPr="00AF55A5">
        <w:rPr>
          <w:rFonts w:ascii="Arial" w:hAnsi="Arial" w:cs="Arial"/>
        </w:rPr>
        <w:t xml:space="preserve">El </w:t>
      </w:r>
      <w:r w:rsidRPr="00AF55A5">
        <w:rPr>
          <w:rStyle w:val="Textoennegrita"/>
          <w:rFonts w:ascii="Arial" w:hAnsi="Arial" w:cs="Arial"/>
          <w:b w:val="0"/>
          <w:bCs w:val="0"/>
        </w:rPr>
        <w:t>Plan México</w:t>
      </w:r>
      <w:r w:rsidRPr="00AF55A5">
        <w:rPr>
          <w:rFonts w:ascii="Arial" w:hAnsi="Arial" w:cs="Arial"/>
        </w:rPr>
        <w:t xml:space="preserve"> prevé la creación de nuevos polos de desarrollo industrial y tecnológico con incentivos fiscales y esquemas de coinversión público-privada, lo que favorece la expansión de zonas logísticas estratégicas y parques industriales sostenibles</w:t>
      </w:r>
      <w:r w:rsidR="00FC2D3D">
        <w:rPr>
          <w:rFonts w:ascii="Arial" w:hAnsi="Arial" w:cs="Arial"/>
        </w:rPr>
        <w:t>.</w:t>
      </w:r>
    </w:p>
    <w:p w14:paraId="3F43C185" w14:textId="77777777" w:rsidR="00FC2D3D" w:rsidRDefault="00FC2D3D" w:rsidP="00D60720">
      <w:pPr>
        <w:pStyle w:val="NormalWeb"/>
        <w:spacing w:before="0" w:beforeAutospacing="0" w:after="0" w:afterAutospacing="0" w:line="360" w:lineRule="auto"/>
        <w:jc w:val="both"/>
        <w:rPr>
          <w:rFonts w:ascii="Arial" w:hAnsi="Arial" w:cs="Arial"/>
        </w:rPr>
      </w:pPr>
    </w:p>
    <w:p w14:paraId="15264895" w14:textId="07C6DEA1" w:rsidR="00766B66" w:rsidRDefault="00766B66" w:rsidP="00D60720">
      <w:pPr>
        <w:pStyle w:val="NormalWeb"/>
        <w:spacing w:before="0" w:beforeAutospacing="0" w:after="0" w:afterAutospacing="0" w:line="360" w:lineRule="auto"/>
        <w:jc w:val="both"/>
        <w:rPr>
          <w:rFonts w:ascii="Arial" w:hAnsi="Arial" w:cs="Arial"/>
        </w:rPr>
      </w:pPr>
      <w:r w:rsidRPr="00766B66">
        <w:rPr>
          <w:rFonts w:ascii="Arial" w:hAnsi="Arial" w:cs="Arial"/>
        </w:rPr>
        <w:t>Dicho plan</w:t>
      </w:r>
      <w:r w:rsidR="007C0AD3">
        <w:rPr>
          <w:rFonts w:ascii="Arial" w:hAnsi="Arial" w:cs="Arial"/>
        </w:rPr>
        <w:t xml:space="preserve">, </w:t>
      </w:r>
      <w:r w:rsidRPr="00766B66">
        <w:rPr>
          <w:rFonts w:ascii="Arial" w:hAnsi="Arial" w:cs="Arial"/>
        </w:rPr>
        <w:t xml:space="preserve">eje del </w:t>
      </w:r>
      <w:r w:rsidR="007C0AD3">
        <w:rPr>
          <w:rFonts w:ascii="Arial" w:hAnsi="Arial" w:cs="Arial"/>
        </w:rPr>
        <w:t>gobierno de México,</w:t>
      </w:r>
      <w:r w:rsidRPr="00766B66">
        <w:rPr>
          <w:rFonts w:ascii="Arial" w:hAnsi="Arial" w:cs="Arial"/>
        </w:rPr>
        <w:t xml:space="preserve"> busca profundizar la industrialización nacional, fortalecer la infraestructura estratégica y reducir las desigualdades regionales, a través de cinco ejes económicos principales:</w:t>
      </w:r>
    </w:p>
    <w:p w14:paraId="2563EAED" w14:textId="77777777" w:rsidR="00FC2D3D" w:rsidRPr="00766B66" w:rsidRDefault="00FC2D3D" w:rsidP="00D60720">
      <w:pPr>
        <w:pStyle w:val="NormalWeb"/>
        <w:spacing w:before="0" w:beforeAutospacing="0" w:after="0" w:afterAutospacing="0" w:line="360" w:lineRule="auto"/>
        <w:jc w:val="both"/>
        <w:rPr>
          <w:rFonts w:ascii="Arial" w:hAnsi="Arial" w:cs="Arial"/>
        </w:rPr>
      </w:pPr>
    </w:p>
    <w:p w14:paraId="78BB4435" w14:textId="77777777" w:rsidR="00766B66" w:rsidRPr="00766B66" w:rsidRDefault="00766B66" w:rsidP="00D60720">
      <w:pPr>
        <w:pStyle w:val="NormalWeb"/>
        <w:numPr>
          <w:ilvl w:val="0"/>
          <w:numId w:val="18"/>
        </w:numPr>
        <w:spacing w:before="0" w:beforeAutospacing="0" w:after="0" w:afterAutospacing="0" w:line="360" w:lineRule="auto"/>
        <w:jc w:val="both"/>
        <w:rPr>
          <w:rFonts w:ascii="Arial" w:hAnsi="Arial" w:cs="Arial"/>
        </w:rPr>
      </w:pPr>
      <w:r w:rsidRPr="00766B66">
        <w:rPr>
          <w:rFonts w:ascii="Arial" w:hAnsi="Arial" w:cs="Arial"/>
        </w:rPr>
        <w:t>Soberanía energética y transición verde.</w:t>
      </w:r>
    </w:p>
    <w:p w14:paraId="43349B6A" w14:textId="77777777" w:rsidR="00766B66" w:rsidRPr="00766B66" w:rsidRDefault="00766B66" w:rsidP="00D60720">
      <w:pPr>
        <w:pStyle w:val="NormalWeb"/>
        <w:numPr>
          <w:ilvl w:val="0"/>
          <w:numId w:val="18"/>
        </w:numPr>
        <w:spacing w:before="0" w:beforeAutospacing="0" w:after="0" w:afterAutospacing="0" w:line="360" w:lineRule="auto"/>
        <w:jc w:val="both"/>
        <w:rPr>
          <w:rFonts w:ascii="Arial" w:hAnsi="Arial" w:cs="Arial"/>
        </w:rPr>
      </w:pPr>
      <w:r w:rsidRPr="00766B66">
        <w:rPr>
          <w:rFonts w:ascii="Arial" w:hAnsi="Arial" w:cs="Arial"/>
        </w:rPr>
        <w:t>Consolidación de corredores industriales y logísticos.</w:t>
      </w:r>
    </w:p>
    <w:p w14:paraId="543B1C94" w14:textId="77777777" w:rsidR="00766B66" w:rsidRPr="00766B66" w:rsidRDefault="00766B66" w:rsidP="00D60720">
      <w:pPr>
        <w:pStyle w:val="NormalWeb"/>
        <w:numPr>
          <w:ilvl w:val="0"/>
          <w:numId w:val="18"/>
        </w:numPr>
        <w:spacing w:before="0" w:beforeAutospacing="0" w:after="0" w:afterAutospacing="0" w:line="360" w:lineRule="auto"/>
        <w:jc w:val="both"/>
        <w:rPr>
          <w:rFonts w:ascii="Arial" w:hAnsi="Arial" w:cs="Arial"/>
        </w:rPr>
      </w:pPr>
      <w:r w:rsidRPr="00766B66">
        <w:rPr>
          <w:rFonts w:ascii="Arial" w:hAnsi="Arial" w:cs="Arial"/>
        </w:rPr>
        <w:t>Fortalecimiento del mercado interno y sustitución inteligente de importaciones.</w:t>
      </w:r>
    </w:p>
    <w:p w14:paraId="7AC44941" w14:textId="77777777" w:rsidR="00766B66" w:rsidRPr="00766B66" w:rsidRDefault="00766B66" w:rsidP="00D60720">
      <w:pPr>
        <w:pStyle w:val="NormalWeb"/>
        <w:numPr>
          <w:ilvl w:val="0"/>
          <w:numId w:val="18"/>
        </w:numPr>
        <w:spacing w:before="0" w:beforeAutospacing="0" w:after="0" w:afterAutospacing="0" w:line="360" w:lineRule="auto"/>
        <w:jc w:val="both"/>
        <w:rPr>
          <w:rFonts w:ascii="Arial" w:hAnsi="Arial" w:cs="Arial"/>
        </w:rPr>
      </w:pPr>
      <w:r w:rsidRPr="00766B66">
        <w:rPr>
          <w:rFonts w:ascii="Arial" w:hAnsi="Arial" w:cs="Arial"/>
        </w:rPr>
        <w:t>Atracción de inversión extranjera directa y nearshoring.</w:t>
      </w:r>
    </w:p>
    <w:p w14:paraId="573B4D9B" w14:textId="77777777" w:rsidR="00766B66" w:rsidRDefault="00766B66" w:rsidP="00D60720">
      <w:pPr>
        <w:pStyle w:val="NormalWeb"/>
        <w:numPr>
          <w:ilvl w:val="0"/>
          <w:numId w:val="18"/>
        </w:numPr>
        <w:spacing w:before="0" w:beforeAutospacing="0" w:after="0" w:afterAutospacing="0" w:line="360" w:lineRule="auto"/>
        <w:jc w:val="both"/>
        <w:rPr>
          <w:rFonts w:ascii="Arial" w:hAnsi="Arial" w:cs="Arial"/>
        </w:rPr>
      </w:pPr>
      <w:r w:rsidRPr="00766B66">
        <w:rPr>
          <w:rFonts w:ascii="Arial" w:hAnsi="Arial" w:cs="Arial"/>
        </w:rPr>
        <w:t>Desarrollo del sur-sureste y equilibrio regional.</w:t>
      </w:r>
    </w:p>
    <w:p w14:paraId="05385740" w14:textId="77777777" w:rsidR="00FC2D3D" w:rsidRPr="00766B66" w:rsidRDefault="00FC2D3D" w:rsidP="00FC2D3D">
      <w:pPr>
        <w:pStyle w:val="NormalWeb"/>
        <w:spacing w:before="0" w:beforeAutospacing="0" w:after="0" w:afterAutospacing="0" w:line="360" w:lineRule="auto"/>
        <w:ind w:left="720"/>
        <w:jc w:val="both"/>
        <w:rPr>
          <w:rFonts w:ascii="Arial" w:hAnsi="Arial" w:cs="Arial"/>
        </w:rPr>
      </w:pPr>
    </w:p>
    <w:p w14:paraId="191D0B0D" w14:textId="40546B40" w:rsidR="00766B66" w:rsidRDefault="00766B66" w:rsidP="00D60720">
      <w:pPr>
        <w:pStyle w:val="NormalWeb"/>
        <w:spacing w:before="0" w:beforeAutospacing="0" w:after="0" w:afterAutospacing="0" w:line="360" w:lineRule="auto"/>
        <w:jc w:val="both"/>
        <w:rPr>
          <w:rFonts w:ascii="Arial" w:hAnsi="Arial" w:cs="Arial"/>
        </w:rPr>
      </w:pPr>
      <w:r w:rsidRPr="00766B66">
        <w:rPr>
          <w:rFonts w:ascii="Arial" w:hAnsi="Arial" w:cs="Arial"/>
        </w:rPr>
        <w:t>Estos lineamientos marcan una nueva fase de desarrollo económico nacional, en la cual los estados con vocación logística y agroindustrial</w:t>
      </w:r>
      <w:r>
        <w:rPr>
          <w:rFonts w:ascii="Arial" w:hAnsi="Arial" w:cs="Arial"/>
        </w:rPr>
        <w:t xml:space="preserve"> </w:t>
      </w:r>
      <w:r w:rsidRPr="00766B66">
        <w:rPr>
          <w:rFonts w:ascii="Arial" w:hAnsi="Arial" w:cs="Arial"/>
        </w:rPr>
        <w:t>como Michoacán</w:t>
      </w:r>
      <w:r>
        <w:rPr>
          <w:rFonts w:ascii="Arial" w:hAnsi="Arial" w:cs="Arial"/>
        </w:rPr>
        <w:t>,</w:t>
      </w:r>
      <w:r w:rsidRPr="00766B66">
        <w:rPr>
          <w:rFonts w:ascii="Arial" w:hAnsi="Arial" w:cs="Arial"/>
        </w:rPr>
        <w:t xml:space="preserve"> adquieren un papel estratégico en la redistribución territorial del crecimiento económico.</w:t>
      </w:r>
    </w:p>
    <w:p w14:paraId="5D77DADC" w14:textId="77777777" w:rsidR="00FC2D3D" w:rsidRDefault="00FC2D3D" w:rsidP="00D60720">
      <w:pPr>
        <w:pStyle w:val="NormalWeb"/>
        <w:spacing w:before="0" w:beforeAutospacing="0" w:after="0" w:afterAutospacing="0" w:line="360" w:lineRule="auto"/>
        <w:jc w:val="both"/>
        <w:rPr>
          <w:rFonts w:ascii="Arial" w:hAnsi="Arial" w:cs="Arial"/>
        </w:rPr>
      </w:pPr>
    </w:p>
    <w:p w14:paraId="06092986" w14:textId="2BF7CF37" w:rsidR="007C0AD3" w:rsidRDefault="007C0AD3" w:rsidP="00D60720">
      <w:pPr>
        <w:pStyle w:val="NormalWeb"/>
        <w:spacing w:before="0" w:beforeAutospacing="0" w:after="0" w:afterAutospacing="0" w:line="360" w:lineRule="auto"/>
        <w:jc w:val="both"/>
        <w:rPr>
          <w:rFonts w:ascii="Arial" w:hAnsi="Arial" w:cs="Arial"/>
        </w:rPr>
      </w:pPr>
      <w:r>
        <w:rPr>
          <w:rFonts w:ascii="Arial" w:hAnsi="Arial" w:cs="Arial"/>
        </w:rPr>
        <w:t>Sin duda la revisión del T-MEC será un parteaguas para mayores definiciones en las estrategias tanto nacional como estatal, su revisión y discusión incluye fundamentalmente:</w:t>
      </w:r>
    </w:p>
    <w:p w14:paraId="1210C117" w14:textId="77777777" w:rsidR="00FC2D3D" w:rsidRDefault="00FC2D3D" w:rsidP="00D60720">
      <w:pPr>
        <w:pStyle w:val="NormalWeb"/>
        <w:spacing w:before="0" w:beforeAutospacing="0" w:after="0" w:afterAutospacing="0" w:line="360" w:lineRule="auto"/>
        <w:jc w:val="both"/>
        <w:rPr>
          <w:rFonts w:ascii="Arial" w:hAnsi="Arial" w:cs="Arial"/>
        </w:rPr>
      </w:pPr>
    </w:p>
    <w:p w14:paraId="435CC913" w14:textId="77777777" w:rsidR="007C0AD3" w:rsidRPr="007C0AD3" w:rsidRDefault="007C0AD3" w:rsidP="00D60720">
      <w:pPr>
        <w:pStyle w:val="NormalWeb"/>
        <w:numPr>
          <w:ilvl w:val="0"/>
          <w:numId w:val="20"/>
        </w:numPr>
        <w:spacing w:before="0" w:beforeAutospacing="0" w:after="0" w:afterAutospacing="0" w:line="360" w:lineRule="auto"/>
        <w:jc w:val="both"/>
        <w:rPr>
          <w:rFonts w:ascii="Arial" w:hAnsi="Arial" w:cs="Arial"/>
        </w:rPr>
      </w:pPr>
      <w:r w:rsidRPr="007C0AD3">
        <w:rPr>
          <w:rFonts w:ascii="Arial" w:hAnsi="Arial" w:cs="Arial"/>
        </w:rPr>
        <w:t>Requisitos de origen en el sector automotriz y de autopartes.</w:t>
      </w:r>
    </w:p>
    <w:p w14:paraId="599AB844" w14:textId="77777777" w:rsidR="007C0AD3" w:rsidRPr="007C0AD3" w:rsidRDefault="007C0AD3" w:rsidP="00D60720">
      <w:pPr>
        <w:pStyle w:val="NormalWeb"/>
        <w:numPr>
          <w:ilvl w:val="0"/>
          <w:numId w:val="20"/>
        </w:numPr>
        <w:spacing w:before="0" w:beforeAutospacing="0" w:after="0" w:afterAutospacing="0" w:line="360" w:lineRule="auto"/>
        <w:jc w:val="both"/>
        <w:rPr>
          <w:rFonts w:ascii="Arial" w:hAnsi="Arial" w:cs="Arial"/>
        </w:rPr>
      </w:pPr>
      <w:r w:rsidRPr="007C0AD3">
        <w:rPr>
          <w:rFonts w:ascii="Arial" w:hAnsi="Arial" w:cs="Arial"/>
        </w:rPr>
        <w:t>Política laboral y estándares de cumplimiento ambiental.</w:t>
      </w:r>
    </w:p>
    <w:p w14:paraId="1F9BE4CB" w14:textId="77777777" w:rsidR="007C0AD3" w:rsidRPr="007C0AD3" w:rsidRDefault="007C0AD3" w:rsidP="00D60720">
      <w:pPr>
        <w:pStyle w:val="NormalWeb"/>
        <w:numPr>
          <w:ilvl w:val="0"/>
          <w:numId w:val="20"/>
        </w:numPr>
        <w:spacing w:before="0" w:beforeAutospacing="0" w:after="0" w:afterAutospacing="0" w:line="360" w:lineRule="auto"/>
        <w:jc w:val="both"/>
        <w:rPr>
          <w:rFonts w:ascii="Arial" w:hAnsi="Arial" w:cs="Arial"/>
        </w:rPr>
      </w:pPr>
      <w:r w:rsidRPr="007C0AD3">
        <w:rPr>
          <w:rFonts w:ascii="Arial" w:hAnsi="Arial" w:cs="Arial"/>
        </w:rPr>
        <w:t>Subsidios y apoyo estatal a industrias verdes y tecnológicas.</w:t>
      </w:r>
    </w:p>
    <w:p w14:paraId="3AA4FC4A" w14:textId="77777777" w:rsidR="007C0AD3" w:rsidRDefault="007C0AD3" w:rsidP="00D60720">
      <w:pPr>
        <w:pStyle w:val="NormalWeb"/>
        <w:numPr>
          <w:ilvl w:val="0"/>
          <w:numId w:val="20"/>
        </w:numPr>
        <w:spacing w:before="0" w:beforeAutospacing="0" w:after="0" w:afterAutospacing="0" w:line="360" w:lineRule="auto"/>
        <w:jc w:val="both"/>
        <w:rPr>
          <w:rFonts w:ascii="Arial" w:hAnsi="Arial" w:cs="Arial"/>
        </w:rPr>
      </w:pPr>
      <w:r w:rsidRPr="007C0AD3">
        <w:rPr>
          <w:rFonts w:ascii="Arial" w:hAnsi="Arial" w:cs="Arial"/>
        </w:rPr>
        <w:t>Reglas de comercio digital, inteligencia artificial y servicios financieros.</w:t>
      </w:r>
    </w:p>
    <w:p w14:paraId="27CC59B0" w14:textId="77777777" w:rsidR="00FC2D3D" w:rsidRPr="007C0AD3" w:rsidRDefault="00FC2D3D" w:rsidP="00FC2D3D">
      <w:pPr>
        <w:pStyle w:val="NormalWeb"/>
        <w:spacing w:before="0" w:beforeAutospacing="0" w:after="0" w:afterAutospacing="0" w:line="360" w:lineRule="auto"/>
        <w:ind w:left="720"/>
        <w:jc w:val="both"/>
        <w:rPr>
          <w:rFonts w:ascii="Arial" w:hAnsi="Arial" w:cs="Arial"/>
        </w:rPr>
      </w:pPr>
    </w:p>
    <w:p w14:paraId="65996F9B" w14:textId="4A5B6FC4" w:rsidR="00FC2D3D" w:rsidRDefault="007C0AD3" w:rsidP="00D60720">
      <w:pPr>
        <w:pStyle w:val="NormalWeb"/>
        <w:spacing w:before="0" w:beforeAutospacing="0" w:after="0" w:afterAutospacing="0" w:line="360" w:lineRule="auto"/>
        <w:jc w:val="both"/>
        <w:rPr>
          <w:rFonts w:ascii="Arial" w:hAnsi="Arial" w:cs="Arial"/>
        </w:rPr>
      </w:pPr>
      <w:r w:rsidRPr="007C0AD3">
        <w:rPr>
          <w:rFonts w:ascii="Arial" w:hAnsi="Arial" w:cs="Arial"/>
        </w:rPr>
        <w:t>Si bien los tres países han manifestado su intención de mantener el acuerdo, se prevén ajustes en capítulos industriales y tecnológicos que podrían modificar los flujos de inversión y las cadenas de valor.</w:t>
      </w:r>
    </w:p>
    <w:p w14:paraId="30DB7F9B" w14:textId="77777777" w:rsidR="00FC2D3D" w:rsidRDefault="00FC2D3D" w:rsidP="00D60720">
      <w:pPr>
        <w:pStyle w:val="NormalWeb"/>
        <w:spacing w:before="0" w:beforeAutospacing="0" w:after="0" w:afterAutospacing="0" w:line="360" w:lineRule="auto"/>
        <w:jc w:val="both"/>
        <w:rPr>
          <w:rFonts w:ascii="Arial" w:hAnsi="Arial" w:cs="Arial"/>
        </w:rPr>
      </w:pPr>
    </w:p>
    <w:p w14:paraId="6F21F6CB" w14:textId="60E5E44E" w:rsidR="002E4C73" w:rsidRDefault="007C0AD3" w:rsidP="00D60720">
      <w:pPr>
        <w:pStyle w:val="NormalWeb"/>
        <w:spacing w:before="0" w:beforeAutospacing="0" w:after="0" w:afterAutospacing="0" w:line="360" w:lineRule="auto"/>
        <w:jc w:val="both"/>
        <w:rPr>
          <w:rFonts w:ascii="Arial" w:hAnsi="Arial" w:cs="Arial"/>
        </w:rPr>
      </w:pPr>
      <w:r w:rsidRPr="007C0AD3">
        <w:rPr>
          <w:rFonts w:ascii="Arial" w:hAnsi="Arial" w:cs="Arial"/>
        </w:rPr>
        <w:t>Para México, una renegociación exitosa del T-MEC bajo el marco del Plan México consolidará su papel como plataforma manufacturera y exportadora de América del Norte, con efectos positivos sobre la estabilidad del tipo de cambio, el empleo y la recaudación tributaria.</w:t>
      </w:r>
    </w:p>
    <w:p w14:paraId="6FBB2922" w14:textId="77777777" w:rsidR="00FC2D3D" w:rsidRPr="00904FFD" w:rsidRDefault="00FC2D3D" w:rsidP="00D60720">
      <w:pPr>
        <w:pStyle w:val="NormalWeb"/>
        <w:spacing w:before="0" w:beforeAutospacing="0" w:after="0" w:afterAutospacing="0" w:line="360" w:lineRule="auto"/>
        <w:jc w:val="both"/>
        <w:rPr>
          <w:rFonts w:ascii="Arial" w:hAnsi="Arial" w:cs="Arial"/>
        </w:rPr>
      </w:pPr>
    </w:p>
    <w:p w14:paraId="0505CF59" w14:textId="77777777" w:rsidR="002E4C73" w:rsidRPr="00FC2D3D" w:rsidRDefault="002E4C73" w:rsidP="00D60720">
      <w:pPr>
        <w:pStyle w:val="Prrafodelista"/>
        <w:numPr>
          <w:ilvl w:val="1"/>
          <w:numId w:val="13"/>
        </w:numPr>
        <w:spacing w:line="360" w:lineRule="auto"/>
        <w:jc w:val="both"/>
        <w:rPr>
          <w:rFonts w:ascii="Arial" w:hAnsi="Arial" w:cs="Arial"/>
        </w:rPr>
      </w:pPr>
      <w:r w:rsidRPr="0089317D">
        <w:rPr>
          <w:rFonts w:ascii="Arial" w:hAnsi="Arial" w:cs="Arial"/>
          <w:b/>
          <w:bCs/>
        </w:rPr>
        <w:t>Crecimiento del Producto Interno Bruto (PIB)</w:t>
      </w:r>
    </w:p>
    <w:p w14:paraId="7A25F6A8" w14:textId="77777777" w:rsidR="00FC2D3D" w:rsidRPr="0089317D" w:rsidRDefault="00FC2D3D" w:rsidP="00FC2D3D">
      <w:pPr>
        <w:pStyle w:val="Prrafodelista"/>
        <w:spacing w:line="360" w:lineRule="auto"/>
        <w:ind w:left="1080"/>
        <w:jc w:val="both"/>
        <w:rPr>
          <w:rFonts w:ascii="Arial" w:hAnsi="Arial" w:cs="Arial"/>
        </w:rPr>
      </w:pPr>
    </w:p>
    <w:p w14:paraId="56805D6D" w14:textId="77777777" w:rsidR="002E4C73" w:rsidRDefault="002E4C73" w:rsidP="00D60720">
      <w:pPr>
        <w:pStyle w:val="NormalWeb"/>
        <w:spacing w:before="0" w:beforeAutospacing="0" w:after="0" w:afterAutospacing="0" w:line="360" w:lineRule="auto"/>
        <w:jc w:val="both"/>
        <w:rPr>
          <w:rFonts w:ascii="Arial" w:hAnsi="Arial" w:cs="Arial"/>
        </w:rPr>
      </w:pPr>
      <w:r>
        <w:rPr>
          <w:rFonts w:ascii="Arial" w:hAnsi="Arial" w:cs="Arial"/>
        </w:rPr>
        <w:t>E</w:t>
      </w:r>
      <w:r w:rsidRPr="00766B66">
        <w:rPr>
          <w:rFonts w:ascii="Arial" w:hAnsi="Arial" w:cs="Arial"/>
        </w:rPr>
        <w:t xml:space="preserve"> Paquete Económico 2026 proyecta un crecimiento del Producto Interno Bruto (PIB) de entre 2.0% y 3.0%, con un escenario central de 2.5%, sustentado en la expansión de la inversión pública, el impulso al consumo interno y la consolidación del fenómeno del nearshoring, que ha favorecido la relocalización de empresas hacia el territorio nacional.</w:t>
      </w:r>
    </w:p>
    <w:p w14:paraId="1D748E3C" w14:textId="77777777" w:rsidR="00FC2D3D" w:rsidRDefault="00FC2D3D" w:rsidP="00D60720">
      <w:pPr>
        <w:pStyle w:val="NormalWeb"/>
        <w:spacing w:before="0" w:beforeAutospacing="0" w:after="0" w:afterAutospacing="0" w:line="360" w:lineRule="auto"/>
        <w:jc w:val="both"/>
        <w:rPr>
          <w:rFonts w:ascii="Arial" w:hAnsi="Arial" w:cs="Arial"/>
        </w:rPr>
      </w:pPr>
    </w:p>
    <w:p w14:paraId="2D5D6484" w14:textId="14BEAA9A" w:rsidR="009E64E4" w:rsidRPr="007F3CED" w:rsidRDefault="007F3CED" w:rsidP="00D60720">
      <w:pPr>
        <w:pStyle w:val="Prrafodelista"/>
        <w:numPr>
          <w:ilvl w:val="1"/>
          <w:numId w:val="36"/>
        </w:numPr>
        <w:spacing w:line="360" w:lineRule="auto"/>
        <w:ind w:hanging="294"/>
        <w:jc w:val="both"/>
        <w:rPr>
          <w:rFonts w:ascii="Arial" w:hAnsi="Arial" w:cs="Arial"/>
        </w:rPr>
      </w:pPr>
      <w:r>
        <w:rPr>
          <w:rFonts w:ascii="Arial" w:hAnsi="Arial" w:cs="Arial"/>
          <w:b/>
          <w:bCs/>
        </w:rPr>
        <w:t xml:space="preserve"> </w:t>
      </w:r>
      <w:r w:rsidR="009E64E4" w:rsidRPr="007F3CED">
        <w:rPr>
          <w:rFonts w:ascii="Arial" w:hAnsi="Arial" w:cs="Arial"/>
          <w:b/>
          <w:bCs/>
        </w:rPr>
        <w:t>Inflación y Política Monetaria</w:t>
      </w:r>
    </w:p>
    <w:p w14:paraId="154431E7" w14:textId="77777777" w:rsidR="009E64E4" w:rsidRDefault="009E64E4" w:rsidP="00D60720">
      <w:pPr>
        <w:spacing w:line="360" w:lineRule="auto"/>
        <w:jc w:val="both"/>
        <w:rPr>
          <w:rFonts w:ascii="Arial" w:hAnsi="Arial" w:cs="Arial"/>
        </w:rPr>
      </w:pPr>
    </w:p>
    <w:p w14:paraId="2579F080" w14:textId="5B9FC02F" w:rsidR="0089317D" w:rsidRDefault="0089317D" w:rsidP="00D60720">
      <w:pPr>
        <w:spacing w:line="360" w:lineRule="auto"/>
        <w:jc w:val="both"/>
        <w:rPr>
          <w:rFonts w:ascii="Arial" w:hAnsi="Arial" w:cs="Arial"/>
        </w:rPr>
      </w:pPr>
      <w:r w:rsidRPr="0089317D">
        <w:rPr>
          <w:rFonts w:ascii="Arial" w:hAnsi="Arial" w:cs="Arial"/>
        </w:rPr>
        <w:t>A partir de 2025, los principales indicadores muestran una desaceleración gradual de la inflación, aunque ésta se mantiene por encima de los objetivos históricos de los bancos centrales.</w:t>
      </w:r>
    </w:p>
    <w:p w14:paraId="2F7F2A31" w14:textId="77777777" w:rsidR="00281707" w:rsidRPr="0089317D" w:rsidRDefault="00281707" w:rsidP="00D60720">
      <w:pPr>
        <w:spacing w:line="360" w:lineRule="auto"/>
        <w:jc w:val="both"/>
        <w:rPr>
          <w:rFonts w:ascii="Arial" w:hAnsi="Arial" w:cs="Arial"/>
        </w:rPr>
      </w:pPr>
    </w:p>
    <w:p w14:paraId="2A6A991B" w14:textId="2E164652" w:rsidR="002E4C73" w:rsidRDefault="009E64E4" w:rsidP="00D60720">
      <w:pPr>
        <w:spacing w:line="360" w:lineRule="auto"/>
        <w:jc w:val="both"/>
        <w:rPr>
          <w:rFonts w:ascii="Arial" w:hAnsi="Arial" w:cs="Arial"/>
        </w:rPr>
      </w:pPr>
      <w:r>
        <w:rPr>
          <w:rFonts w:ascii="Arial" w:hAnsi="Arial" w:cs="Arial"/>
        </w:rPr>
        <w:t>L</w:t>
      </w:r>
      <w:r w:rsidRPr="009E64E4">
        <w:rPr>
          <w:rFonts w:ascii="Arial" w:hAnsi="Arial" w:cs="Arial"/>
        </w:rPr>
        <w:t xml:space="preserve">os Criterios Generales de Política Económica 2026, </w:t>
      </w:r>
      <w:r>
        <w:rPr>
          <w:rFonts w:ascii="Arial" w:hAnsi="Arial" w:cs="Arial"/>
        </w:rPr>
        <w:t xml:space="preserve">estiman </w:t>
      </w:r>
      <w:r w:rsidRPr="009E64E4">
        <w:rPr>
          <w:rFonts w:ascii="Arial" w:hAnsi="Arial" w:cs="Arial"/>
        </w:rPr>
        <w:t xml:space="preserve">una inflación </w:t>
      </w:r>
      <w:r w:rsidR="009C4D4C">
        <w:rPr>
          <w:rFonts w:ascii="Arial" w:hAnsi="Arial" w:cs="Arial"/>
        </w:rPr>
        <w:t xml:space="preserve">promedio </w:t>
      </w:r>
      <w:r w:rsidRPr="009E64E4">
        <w:rPr>
          <w:rFonts w:ascii="Arial" w:hAnsi="Arial" w:cs="Arial"/>
        </w:rPr>
        <w:t>esperada de 3.</w:t>
      </w:r>
      <w:r w:rsidR="009C4D4C">
        <w:rPr>
          <w:rFonts w:ascii="Arial" w:hAnsi="Arial" w:cs="Arial"/>
        </w:rPr>
        <w:t>5</w:t>
      </w:r>
      <w:r w:rsidRPr="009E64E4">
        <w:rPr>
          <w:rFonts w:ascii="Arial" w:hAnsi="Arial" w:cs="Arial"/>
        </w:rPr>
        <w:t>% y una tasa de interés promedio de 7.0%. El tipo de cambio promedio se ubicaría alrededor de 18.9 pesos por dólar, reflejando estabilidad macroeconómica y confianza en la política fiscal federal.</w:t>
      </w:r>
    </w:p>
    <w:p w14:paraId="7419A68F" w14:textId="77777777" w:rsidR="00281707" w:rsidRDefault="00281707" w:rsidP="00D60720">
      <w:pPr>
        <w:spacing w:line="360" w:lineRule="auto"/>
        <w:jc w:val="both"/>
        <w:rPr>
          <w:rFonts w:ascii="Arial" w:hAnsi="Arial" w:cs="Arial"/>
        </w:rPr>
      </w:pPr>
    </w:p>
    <w:p w14:paraId="11AE882C" w14:textId="1147FE33" w:rsidR="00281707" w:rsidRDefault="00281707" w:rsidP="00D60720">
      <w:pPr>
        <w:spacing w:line="360" w:lineRule="auto"/>
        <w:jc w:val="both"/>
        <w:rPr>
          <w:rFonts w:ascii="Arial" w:hAnsi="Arial" w:cs="Arial"/>
        </w:rPr>
      </w:pPr>
      <w:r w:rsidRPr="00281707">
        <w:rPr>
          <w:rFonts w:ascii="Arial" w:hAnsi="Arial" w:cs="Arial"/>
        </w:rPr>
        <w:t>La tasa de interés de referencia actual en México es de 7.5%, según la decisión más reciente de Banxico tomada el 26 de septiembre de 2025. Para el cierre de año, el objetivo o meta de la autoridad monetaria es alcanzar una tasa cercana al 7.0%, conforme a estimaciones recientes del mercado y comunicados oficiales del banco central.</w:t>
      </w:r>
    </w:p>
    <w:p w14:paraId="2DE9D60B" w14:textId="77777777" w:rsidR="00C77FB6" w:rsidRPr="009E64E4" w:rsidRDefault="00C77FB6" w:rsidP="00D60720">
      <w:pPr>
        <w:spacing w:line="360" w:lineRule="auto"/>
        <w:jc w:val="both"/>
        <w:rPr>
          <w:rFonts w:ascii="Arial" w:hAnsi="Arial" w:cs="Arial"/>
        </w:rPr>
      </w:pPr>
    </w:p>
    <w:p w14:paraId="328CE405" w14:textId="6167F90B" w:rsidR="009E64E4" w:rsidRPr="007F3CED" w:rsidRDefault="003202FC" w:rsidP="00D60720">
      <w:pPr>
        <w:pStyle w:val="Prrafodelista"/>
        <w:numPr>
          <w:ilvl w:val="1"/>
          <w:numId w:val="36"/>
        </w:numPr>
        <w:spacing w:line="360" w:lineRule="auto"/>
        <w:ind w:hanging="294"/>
        <w:jc w:val="both"/>
        <w:rPr>
          <w:rFonts w:ascii="Arial" w:hAnsi="Arial" w:cs="Arial"/>
        </w:rPr>
      </w:pPr>
      <w:r w:rsidRPr="007F3CED">
        <w:rPr>
          <w:rFonts w:ascii="Arial" w:hAnsi="Arial" w:cs="Arial"/>
          <w:b/>
          <w:bCs/>
        </w:rPr>
        <w:t>Sector Energético</w:t>
      </w:r>
    </w:p>
    <w:p w14:paraId="026C8D51" w14:textId="77777777" w:rsidR="0089317D" w:rsidRDefault="0089317D" w:rsidP="00D60720">
      <w:pPr>
        <w:spacing w:line="360" w:lineRule="auto"/>
        <w:jc w:val="both"/>
        <w:rPr>
          <w:rFonts w:ascii="Arial" w:hAnsi="Arial" w:cs="Arial"/>
        </w:rPr>
      </w:pPr>
    </w:p>
    <w:p w14:paraId="219968DD" w14:textId="3E065238" w:rsidR="0089317D" w:rsidRDefault="0089317D" w:rsidP="00D60720">
      <w:pPr>
        <w:spacing w:line="360" w:lineRule="auto"/>
        <w:jc w:val="both"/>
        <w:rPr>
          <w:rFonts w:ascii="Arial" w:hAnsi="Arial" w:cs="Arial"/>
        </w:rPr>
      </w:pPr>
      <w:r>
        <w:rPr>
          <w:rFonts w:ascii="Arial" w:hAnsi="Arial" w:cs="Arial"/>
        </w:rPr>
        <w:t>E</w:t>
      </w:r>
      <w:r w:rsidRPr="0089317D">
        <w:rPr>
          <w:rFonts w:ascii="Arial" w:hAnsi="Arial" w:cs="Arial"/>
        </w:rPr>
        <w:t>l precio promedio del petróleo mexicano se calcula en $59.0 dólares por barril, con una plataforma de producción de 1,867 mil barriles diarios y exportaciones promedio de 960 mil barriles diarios. Esto representa una corrección a la baja respecto al promedio observado en 2023–2024 (cuando fluctuó entre 65 y 70 USD/barril).</w:t>
      </w:r>
    </w:p>
    <w:p w14:paraId="49E8967B" w14:textId="77777777" w:rsidR="00FC2D3D" w:rsidRPr="0089317D" w:rsidRDefault="00FC2D3D" w:rsidP="00D60720">
      <w:pPr>
        <w:spacing w:line="360" w:lineRule="auto"/>
        <w:jc w:val="both"/>
        <w:rPr>
          <w:rFonts w:ascii="Arial" w:hAnsi="Arial" w:cs="Arial"/>
        </w:rPr>
      </w:pPr>
    </w:p>
    <w:p w14:paraId="2B6A7823" w14:textId="7D7E8C53" w:rsidR="009E64E4" w:rsidRDefault="009E64E4" w:rsidP="00D60720">
      <w:pPr>
        <w:pStyle w:val="NormalWeb"/>
        <w:spacing w:before="0" w:beforeAutospacing="0" w:after="0" w:afterAutospacing="0" w:line="360" w:lineRule="auto"/>
        <w:jc w:val="both"/>
        <w:rPr>
          <w:rFonts w:ascii="Arial" w:hAnsi="Arial" w:cs="Arial"/>
        </w:rPr>
      </w:pPr>
      <w:r w:rsidRPr="009E64E4">
        <w:rPr>
          <w:rFonts w:ascii="Arial" w:hAnsi="Arial" w:cs="Arial"/>
        </w:rPr>
        <w:t>Esta circunstancia confirma la transición estructural de las finanzas públicas mexicanas hacia una menor dependencia de los ingresos petroleros y refuerza la necesidad de continuar fortaleciendo la recaudación tributaria no petrolera y la eficiencia administrativa en los tres órdenes de gobierno.</w:t>
      </w:r>
    </w:p>
    <w:p w14:paraId="1B814960" w14:textId="77777777" w:rsidR="00FC2D3D" w:rsidRPr="009E64E4" w:rsidRDefault="00FC2D3D" w:rsidP="00D60720">
      <w:pPr>
        <w:pStyle w:val="NormalWeb"/>
        <w:spacing w:before="0" w:beforeAutospacing="0" w:after="0" w:afterAutospacing="0" w:line="360" w:lineRule="auto"/>
        <w:jc w:val="both"/>
        <w:rPr>
          <w:rFonts w:ascii="Arial" w:hAnsi="Arial" w:cs="Arial"/>
        </w:rPr>
      </w:pPr>
    </w:p>
    <w:p w14:paraId="5B84B65E" w14:textId="19CB99A0" w:rsidR="009E64E4" w:rsidRDefault="009E64E4" w:rsidP="00D60720">
      <w:pPr>
        <w:pStyle w:val="NormalWeb"/>
        <w:spacing w:before="0" w:beforeAutospacing="0" w:after="0" w:afterAutospacing="0" w:line="360" w:lineRule="auto"/>
        <w:jc w:val="both"/>
        <w:rPr>
          <w:rFonts w:ascii="Arial" w:hAnsi="Arial" w:cs="Arial"/>
        </w:rPr>
      </w:pPr>
      <w:r w:rsidRPr="009E64E4">
        <w:rPr>
          <w:rFonts w:ascii="Arial" w:hAnsi="Arial" w:cs="Arial"/>
        </w:rPr>
        <w:t xml:space="preserve">Para </w:t>
      </w:r>
      <w:r>
        <w:rPr>
          <w:rFonts w:ascii="Arial" w:hAnsi="Arial" w:cs="Arial"/>
        </w:rPr>
        <w:t xml:space="preserve">Michoacán y las demás </w:t>
      </w:r>
      <w:r w:rsidRPr="009E64E4">
        <w:rPr>
          <w:rFonts w:ascii="Arial" w:hAnsi="Arial" w:cs="Arial"/>
        </w:rPr>
        <w:t>las entidades federativas, este escenario implica que las participaciones derivadas de ingresos petroleros (Fondo General y Fondo de Extracción de Hidrocarburos) mantendrán niveles similares a los de 2025, sin incrementos sustanciales, por lo que la planeación presupuestaria estatal deberá basarse en fuentes de ingresos propios y en el aprovechamiento racional de los recursos federales transferidos.</w:t>
      </w:r>
    </w:p>
    <w:p w14:paraId="5047434A" w14:textId="77777777" w:rsidR="00D60720" w:rsidRPr="009E64E4" w:rsidRDefault="00D60720" w:rsidP="00D60720">
      <w:pPr>
        <w:pStyle w:val="NormalWeb"/>
        <w:spacing w:before="0" w:beforeAutospacing="0" w:after="0" w:afterAutospacing="0" w:line="360" w:lineRule="auto"/>
        <w:jc w:val="both"/>
        <w:rPr>
          <w:rFonts w:ascii="Arial" w:hAnsi="Arial" w:cs="Arial"/>
        </w:rPr>
      </w:pPr>
    </w:p>
    <w:p w14:paraId="247C4696" w14:textId="3C3ED8BE" w:rsidR="00281707" w:rsidRDefault="00C77FB6" w:rsidP="00D60720">
      <w:pPr>
        <w:spacing w:line="360" w:lineRule="auto"/>
        <w:ind w:firstLine="426"/>
        <w:jc w:val="both"/>
        <w:rPr>
          <w:rFonts w:ascii="Arial" w:hAnsi="Arial" w:cs="Arial"/>
          <w:b/>
          <w:bCs/>
        </w:rPr>
      </w:pPr>
      <w:r>
        <w:rPr>
          <w:rFonts w:ascii="Arial" w:hAnsi="Arial" w:cs="Arial"/>
          <w:b/>
          <w:bCs/>
        </w:rPr>
        <w:t xml:space="preserve">3.4. </w:t>
      </w:r>
      <w:r w:rsidR="00281707" w:rsidRPr="00281707">
        <w:rPr>
          <w:rFonts w:ascii="Arial" w:hAnsi="Arial" w:cs="Arial"/>
          <w:b/>
          <w:bCs/>
        </w:rPr>
        <w:t xml:space="preserve">Renegociación del T-MEC y </w:t>
      </w:r>
      <w:r w:rsidR="00281707">
        <w:rPr>
          <w:rFonts w:ascii="Arial" w:hAnsi="Arial" w:cs="Arial"/>
          <w:b/>
          <w:bCs/>
        </w:rPr>
        <w:t>su impacto</w:t>
      </w:r>
    </w:p>
    <w:p w14:paraId="6C5C1A3F" w14:textId="77777777" w:rsidR="00C77FB6" w:rsidRDefault="00C77FB6" w:rsidP="00D60720">
      <w:pPr>
        <w:spacing w:line="360" w:lineRule="auto"/>
        <w:jc w:val="both"/>
        <w:rPr>
          <w:rFonts w:ascii="Arial" w:hAnsi="Arial" w:cs="Arial"/>
        </w:rPr>
      </w:pPr>
    </w:p>
    <w:p w14:paraId="54AEC718" w14:textId="0203F1B3" w:rsidR="000E0DA0" w:rsidRDefault="000E0DA0" w:rsidP="00D60720">
      <w:pPr>
        <w:spacing w:line="360" w:lineRule="auto"/>
        <w:jc w:val="both"/>
        <w:rPr>
          <w:rFonts w:ascii="Arial" w:hAnsi="Arial" w:cs="Arial"/>
        </w:rPr>
      </w:pPr>
      <w:r w:rsidRPr="000E0DA0">
        <w:rPr>
          <w:rFonts w:ascii="Arial" w:hAnsi="Arial" w:cs="Arial"/>
        </w:rPr>
        <w:t>La renegociación del Tratado entre México, Estados Unidos y Canadá (T-MEC), programada para iniciar en julio de 2026, tiene implicaciones significativas para el entorno nacional y para Michoacán, por supuesto. Este proceso se da en un contexto de revisión y posibles ajustes que buscan fortalecer el acuerdo para adaptarlo a los retos actuales del comercio regional, la competencia global y las presiones políticas, especialmente desde Estados Unidos.</w:t>
      </w:r>
    </w:p>
    <w:p w14:paraId="3C05F7DA" w14:textId="77777777" w:rsidR="007551F2" w:rsidRPr="000E0DA0" w:rsidRDefault="007551F2" w:rsidP="00D60720">
      <w:pPr>
        <w:spacing w:line="360" w:lineRule="auto"/>
        <w:jc w:val="both"/>
        <w:rPr>
          <w:rFonts w:ascii="Arial" w:hAnsi="Arial" w:cs="Arial"/>
        </w:rPr>
      </w:pPr>
    </w:p>
    <w:p w14:paraId="31F80FEB" w14:textId="60EC28A7" w:rsidR="000E0DA0" w:rsidRDefault="000E0DA0" w:rsidP="00D60720">
      <w:pPr>
        <w:spacing w:line="360" w:lineRule="auto"/>
        <w:jc w:val="both"/>
        <w:rPr>
          <w:rFonts w:ascii="Arial" w:hAnsi="Arial" w:cs="Arial"/>
        </w:rPr>
      </w:pPr>
      <w:r w:rsidRPr="000E0DA0">
        <w:rPr>
          <w:rFonts w:ascii="Arial" w:hAnsi="Arial" w:cs="Arial"/>
        </w:rPr>
        <w:t>Mantener la estabilidad comercial: El T-MEC es vital para México, ya que más del 80% de sus exportaciones tienen como destino sus socios norteamericanos. Cualquier cambio en el tratado que fortalezca las reglas de origen o las barreras comerciales puede afectar directamente a los sectores productivos de México y nuestr</w:t>
      </w:r>
      <w:r>
        <w:rPr>
          <w:rFonts w:ascii="Arial" w:hAnsi="Arial" w:cs="Arial"/>
        </w:rPr>
        <w:t>o</w:t>
      </w:r>
      <w:r w:rsidRPr="000E0DA0">
        <w:rPr>
          <w:rFonts w:ascii="Arial" w:hAnsi="Arial" w:cs="Arial"/>
        </w:rPr>
        <w:t xml:space="preserve"> estado, que tienen fuerte participación en la cadena de valor regional.</w:t>
      </w:r>
    </w:p>
    <w:p w14:paraId="6CDCCF33" w14:textId="77777777" w:rsidR="00C77FB6" w:rsidRPr="000E0DA0" w:rsidRDefault="00C77FB6" w:rsidP="00D60720">
      <w:pPr>
        <w:spacing w:line="360" w:lineRule="auto"/>
        <w:jc w:val="both"/>
        <w:rPr>
          <w:rFonts w:ascii="Arial" w:hAnsi="Arial" w:cs="Arial"/>
        </w:rPr>
      </w:pPr>
    </w:p>
    <w:p w14:paraId="2BC5B5DD" w14:textId="77777777" w:rsidR="000E0DA0" w:rsidRPr="000E0DA0" w:rsidRDefault="000E0DA0" w:rsidP="00D60720">
      <w:pPr>
        <w:spacing w:line="360" w:lineRule="auto"/>
        <w:jc w:val="both"/>
        <w:rPr>
          <w:rFonts w:ascii="Arial" w:hAnsi="Arial" w:cs="Arial"/>
          <w:b/>
          <w:bCs/>
        </w:rPr>
      </w:pPr>
      <w:r w:rsidRPr="000E0DA0">
        <w:rPr>
          <w:rFonts w:ascii="Arial" w:hAnsi="Arial" w:cs="Arial"/>
          <w:b/>
          <w:bCs/>
        </w:rPr>
        <w:t xml:space="preserve">Competitividad regional: </w:t>
      </w:r>
      <w:r w:rsidRPr="000E0DA0">
        <w:rPr>
          <w:rFonts w:ascii="Arial" w:hAnsi="Arial" w:cs="Arial"/>
        </w:rPr>
        <w:t>La renegociación buscará ajustar reglas para limitar la entrada de productos de terceros países, especialmente China, que pueden ingresar vía México hacia Estados Unidos, protegiendo así la industria local y regional. Esto representa una oportunidad para consolidar a Michoacán como parte estratégica de las cadenas productivas locales</w:t>
      </w:r>
      <w:r w:rsidRPr="000E0DA0">
        <w:rPr>
          <w:rFonts w:ascii="Arial" w:hAnsi="Arial" w:cs="Arial"/>
          <w:b/>
          <w:bCs/>
        </w:rPr>
        <w:t>.</w:t>
      </w:r>
    </w:p>
    <w:p w14:paraId="5ADEA20C" w14:textId="77777777" w:rsidR="000E0DA0" w:rsidRPr="000E0DA0" w:rsidRDefault="000E0DA0" w:rsidP="00D60720">
      <w:pPr>
        <w:spacing w:line="360" w:lineRule="auto"/>
        <w:jc w:val="both"/>
        <w:rPr>
          <w:rFonts w:ascii="Arial" w:hAnsi="Arial" w:cs="Arial"/>
          <w:b/>
          <w:bCs/>
        </w:rPr>
      </w:pPr>
    </w:p>
    <w:p w14:paraId="29FB7A22" w14:textId="77777777" w:rsidR="000E0DA0" w:rsidRDefault="000E0DA0" w:rsidP="00D60720">
      <w:pPr>
        <w:spacing w:line="360" w:lineRule="auto"/>
        <w:jc w:val="both"/>
        <w:rPr>
          <w:rFonts w:ascii="Arial" w:hAnsi="Arial" w:cs="Arial"/>
        </w:rPr>
      </w:pPr>
      <w:r w:rsidRPr="000E0DA0">
        <w:rPr>
          <w:rFonts w:ascii="Arial" w:hAnsi="Arial" w:cs="Arial"/>
          <w:b/>
          <w:bCs/>
        </w:rPr>
        <w:t xml:space="preserve">Mejora en condiciones laborales y ambientales: </w:t>
      </w:r>
      <w:r w:rsidRPr="000E0DA0">
        <w:rPr>
          <w:rFonts w:ascii="Arial" w:hAnsi="Arial" w:cs="Arial"/>
        </w:rPr>
        <w:t>Se esperan mayores exigencias en materia laboral y ambiental, incluyendo mecanismos de cumplimiento más estrictos. Esto impacta la dinámica empresarial con nuevas reglas para el trabajo y producción sostenible que deben ser consideradas en la planeación estatal y presupuestal.</w:t>
      </w:r>
    </w:p>
    <w:p w14:paraId="708B3A2E" w14:textId="77777777" w:rsidR="00C77FB6" w:rsidRPr="000E0DA0" w:rsidRDefault="00C77FB6" w:rsidP="00D60720">
      <w:pPr>
        <w:spacing w:line="360" w:lineRule="auto"/>
        <w:jc w:val="both"/>
        <w:rPr>
          <w:rFonts w:ascii="Arial" w:hAnsi="Arial" w:cs="Arial"/>
        </w:rPr>
      </w:pPr>
    </w:p>
    <w:p w14:paraId="3AB75AC6" w14:textId="77777777" w:rsidR="000E0DA0" w:rsidRDefault="000E0DA0" w:rsidP="00D60720">
      <w:pPr>
        <w:spacing w:line="360" w:lineRule="auto"/>
        <w:jc w:val="both"/>
        <w:rPr>
          <w:rFonts w:ascii="Arial" w:hAnsi="Arial" w:cs="Arial"/>
        </w:rPr>
      </w:pPr>
      <w:r w:rsidRPr="000E0DA0">
        <w:rPr>
          <w:rFonts w:ascii="Arial" w:hAnsi="Arial" w:cs="Arial"/>
          <w:b/>
          <w:bCs/>
        </w:rPr>
        <w:t xml:space="preserve">Oportunidades para inversión y desarrollo: </w:t>
      </w:r>
      <w:r w:rsidRPr="000E0DA0">
        <w:rPr>
          <w:rFonts w:ascii="Arial" w:hAnsi="Arial" w:cs="Arial"/>
        </w:rPr>
        <w:t>La renegociación podría abrir oportunidades para mejorar la integración regional, simplificar procesos aduaneros y fortalecer la certidumbre jurídica. Para Michoacán, esto implica la posibilidad de atraer inversión y promover sectores clave con mayor respaldo institucional y comercial.</w:t>
      </w:r>
    </w:p>
    <w:p w14:paraId="4EF4A854" w14:textId="77777777" w:rsidR="00C77FB6" w:rsidRPr="000E0DA0" w:rsidRDefault="00C77FB6" w:rsidP="00D60720">
      <w:pPr>
        <w:spacing w:line="360" w:lineRule="auto"/>
        <w:jc w:val="both"/>
        <w:rPr>
          <w:rFonts w:ascii="Arial" w:hAnsi="Arial" w:cs="Arial"/>
        </w:rPr>
      </w:pPr>
    </w:p>
    <w:p w14:paraId="66385872" w14:textId="77777777" w:rsidR="000E0DA0" w:rsidRDefault="000E0DA0" w:rsidP="00D60720">
      <w:pPr>
        <w:spacing w:line="360" w:lineRule="auto"/>
        <w:jc w:val="both"/>
        <w:rPr>
          <w:rFonts w:ascii="Arial" w:hAnsi="Arial" w:cs="Arial"/>
        </w:rPr>
      </w:pPr>
      <w:r w:rsidRPr="000E0DA0">
        <w:rPr>
          <w:rFonts w:ascii="Arial" w:hAnsi="Arial" w:cs="Arial"/>
          <w:b/>
          <w:bCs/>
        </w:rPr>
        <w:t xml:space="preserve">Riesgos y desafíos: </w:t>
      </w:r>
      <w:r w:rsidRPr="000E0DA0">
        <w:rPr>
          <w:rFonts w:ascii="Arial" w:hAnsi="Arial" w:cs="Arial"/>
        </w:rPr>
        <w:t>La incertidumbre inherente a cualquier proceso negociador puede generar cautela entre inversionistas y empresarios a corto plazo, afectando temporalmente proyectos e iniciativas. Por ello, es relevante implementar estrategias estatales que mitiguen estos efectos y potencien la adaptación rápida a los cambios.</w:t>
      </w:r>
    </w:p>
    <w:p w14:paraId="30546A04" w14:textId="77777777" w:rsidR="00C77FB6" w:rsidRPr="000E0DA0" w:rsidRDefault="00C77FB6" w:rsidP="00D60720">
      <w:pPr>
        <w:spacing w:line="360" w:lineRule="auto"/>
        <w:jc w:val="both"/>
        <w:rPr>
          <w:rFonts w:ascii="Arial" w:hAnsi="Arial" w:cs="Arial"/>
        </w:rPr>
      </w:pPr>
    </w:p>
    <w:p w14:paraId="158FD367" w14:textId="2BC193B5" w:rsidR="000E0DA0" w:rsidRPr="003E4841" w:rsidRDefault="000E0DA0" w:rsidP="00D60720">
      <w:pPr>
        <w:spacing w:line="360" w:lineRule="auto"/>
        <w:jc w:val="both"/>
        <w:rPr>
          <w:rFonts w:ascii="Arial" w:hAnsi="Arial" w:cs="Arial"/>
        </w:rPr>
      </w:pPr>
      <w:r w:rsidRPr="000E0DA0">
        <w:rPr>
          <w:rFonts w:ascii="Arial" w:hAnsi="Arial" w:cs="Arial"/>
        </w:rPr>
        <w:t>La renegociación del T-MEC implica también un resguardo fundamental al Estado de Derecho, principio esencial que debe prevalecer para garantizar la estabilidad jurídica y la confianza de inversionistas y empresas. El Estado de Derecho asegura que todas las reglas y reformas derivadas de la renegociación se apliquen de manera justa, imparcial y transparente, protegiendo tanto los derechos económicos como laborales y ambientales.</w:t>
      </w:r>
    </w:p>
    <w:p w14:paraId="1AA5ECCD" w14:textId="77777777" w:rsidR="000E0DA0" w:rsidRPr="000E0DA0" w:rsidRDefault="000E0DA0" w:rsidP="00D60720">
      <w:pPr>
        <w:spacing w:line="360" w:lineRule="auto"/>
        <w:jc w:val="both"/>
        <w:rPr>
          <w:rFonts w:ascii="Arial" w:hAnsi="Arial" w:cs="Arial"/>
          <w:b/>
          <w:bCs/>
        </w:rPr>
      </w:pPr>
    </w:p>
    <w:p w14:paraId="66BA2984" w14:textId="4D7202B4" w:rsidR="00E0411E" w:rsidRPr="00C77FB6" w:rsidRDefault="00E0411E" w:rsidP="00D60720">
      <w:pPr>
        <w:pStyle w:val="Prrafodelista"/>
        <w:numPr>
          <w:ilvl w:val="1"/>
          <w:numId w:val="37"/>
        </w:numPr>
        <w:spacing w:line="360" w:lineRule="auto"/>
        <w:jc w:val="both"/>
        <w:rPr>
          <w:rFonts w:ascii="Arial" w:hAnsi="Arial" w:cs="Arial"/>
        </w:rPr>
      </w:pPr>
      <w:r w:rsidRPr="00C77FB6">
        <w:rPr>
          <w:rFonts w:ascii="Arial" w:hAnsi="Arial" w:cs="Arial"/>
          <w:b/>
          <w:bCs/>
        </w:rPr>
        <w:t>Política Fiscal y Sostenibilidad de la Deuda</w:t>
      </w:r>
    </w:p>
    <w:p w14:paraId="6BACFEDC" w14:textId="77777777" w:rsidR="00E0411E" w:rsidRDefault="00E0411E" w:rsidP="00D60720">
      <w:pPr>
        <w:spacing w:line="360" w:lineRule="auto"/>
        <w:jc w:val="both"/>
        <w:rPr>
          <w:rFonts w:ascii="Arial" w:hAnsi="Arial" w:cs="Arial"/>
        </w:rPr>
      </w:pPr>
    </w:p>
    <w:p w14:paraId="51DE7BDC" w14:textId="77777777" w:rsidR="00E0411E" w:rsidRDefault="00E0411E" w:rsidP="00D60720">
      <w:pPr>
        <w:spacing w:line="360" w:lineRule="auto"/>
        <w:jc w:val="both"/>
        <w:rPr>
          <w:rFonts w:ascii="Arial" w:hAnsi="Arial" w:cs="Arial"/>
        </w:rPr>
      </w:pPr>
      <w:r w:rsidRPr="00D25785">
        <w:rPr>
          <w:rFonts w:ascii="Arial" w:hAnsi="Arial" w:cs="Arial"/>
        </w:rPr>
        <w:t>La política fiscal federal para el ejercicio 2026 mantiene como objetivo central preservar la estabilidad macroeconómica y la sostenibilidad de las finanzas públicas, procurando un balance entre la continuidad del gasto social, la inversión pública estratégica y el manejo responsable de la deuda.</w:t>
      </w:r>
      <w:r w:rsidRPr="00D25785">
        <w:t xml:space="preserve"> </w:t>
      </w:r>
      <w:r w:rsidRPr="00D25785">
        <w:rPr>
          <w:rFonts w:ascii="Arial" w:hAnsi="Arial" w:cs="Arial"/>
        </w:rPr>
        <w:t>Asimismo, la reducción paulatina de las tasas de interés contribuirá a disminuir el costo del servicio de la deuda</w:t>
      </w:r>
      <w:r>
        <w:rPr>
          <w:rFonts w:ascii="Arial" w:hAnsi="Arial" w:cs="Arial"/>
        </w:rPr>
        <w:t>.</w:t>
      </w:r>
    </w:p>
    <w:p w14:paraId="7788F030" w14:textId="77777777" w:rsidR="00F61DD1" w:rsidRDefault="00F61DD1" w:rsidP="00D60720">
      <w:pPr>
        <w:spacing w:line="360" w:lineRule="auto"/>
        <w:jc w:val="both"/>
        <w:rPr>
          <w:rFonts w:ascii="Arial" w:hAnsi="Arial" w:cs="Arial"/>
        </w:rPr>
      </w:pPr>
    </w:p>
    <w:p w14:paraId="579B7509" w14:textId="71361E8A" w:rsidR="003E4841" w:rsidRDefault="00551949" w:rsidP="00D60720">
      <w:pPr>
        <w:spacing w:line="360" w:lineRule="auto"/>
        <w:jc w:val="both"/>
        <w:rPr>
          <w:rFonts w:ascii="Arial" w:hAnsi="Arial" w:cs="Arial"/>
        </w:rPr>
      </w:pPr>
      <w:r w:rsidRPr="00551949">
        <w:rPr>
          <w:rFonts w:ascii="Arial" w:hAnsi="Arial" w:cs="Arial"/>
        </w:rPr>
        <w:t>Tras un 2025 caracterizado por un aumento del gasto público asociado a proyectos de infraestructura y transición de administración federal, el PPEF 2026 busca recomponer el balance fiscal, reducir el déficit y fortalecer las fuentes permanentes de ingreso tributario, bajo un marco de disciplina financiera.</w:t>
      </w:r>
    </w:p>
    <w:p w14:paraId="74C33EE8" w14:textId="77777777" w:rsidR="00F61DD1" w:rsidRDefault="00F61DD1" w:rsidP="00D60720">
      <w:pPr>
        <w:spacing w:line="360" w:lineRule="auto"/>
        <w:jc w:val="both"/>
        <w:rPr>
          <w:rFonts w:ascii="Arial" w:hAnsi="Arial" w:cs="Arial"/>
        </w:rPr>
      </w:pPr>
    </w:p>
    <w:p w14:paraId="183CCA53" w14:textId="2A608F99" w:rsidR="00551949" w:rsidRDefault="00551949" w:rsidP="00D60720">
      <w:pPr>
        <w:spacing w:line="360" w:lineRule="auto"/>
        <w:jc w:val="both"/>
        <w:rPr>
          <w:rFonts w:ascii="Arial" w:hAnsi="Arial" w:cs="Arial"/>
        </w:rPr>
      </w:pPr>
      <w:r w:rsidRPr="00551949">
        <w:rPr>
          <w:rFonts w:ascii="Arial" w:hAnsi="Arial" w:cs="Arial"/>
        </w:rPr>
        <w:t xml:space="preserve">El gasto neto total propuesto en el PPEF 2026 asciende a $10.19 billones de pesos, lo que representa un incremento nominal del </w:t>
      </w:r>
      <w:r w:rsidR="009C4D4C">
        <w:rPr>
          <w:rFonts w:ascii="Arial" w:hAnsi="Arial" w:cs="Arial"/>
        </w:rPr>
        <w:t>9.5</w:t>
      </w:r>
      <w:r w:rsidR="00430DB8">
        <w:rPr>
          <w:rFonts w:ascii="Arial" w:hAnsi="Arial" w:cs="Arial"/>
        </w:rPr>
        <w:t>9</w:t>
      </w:r>
      <w:r w:rsidR="009C4D4C">
        <w:rPr>
          <w:rFonts w:ascii="Arial" w:hAnsi="Arial" w:cs="Arial"/>
        </w:rPr>
        <w:t xml:space="preserve">% </w:t>
      </w:r>
      <w:r w:rsidR="007551F2">
        <w:rPr>
          <w:rFonts w:ascii="Arial" w:hAnsi="Arial" w:cs="Arial"/>
        </w:rPr>
        <w:t>r</w:t>
      </w:r>
      <w:r w:rsidRPr="00551949">
        <w:rPr>
          <w:rFonts w:ascii="Arial" w:hAnsi="Arial" w:cs="Arial"/>
        </w:rPr>
        <w:t>especto al monto aprobado en 2025, equivalente al 33.5% del PIB.</w:t>
      </w:r>
    </w:p>
    <w:p w14:paraId="237B8D36" w14:textId="77777777" w:rsidR="00F61DD1" w:rsidRPr="00551949" w:rsidRDefault="00F61DD1" w:rsidP="00D60720">
      <w:pPr>
        <w:spacing w:line="360" w:lineRule="auto"/>
        <w:jc w:val="both"/>
        <w:rPr>
          <w:rFonts w:ascii="Arial" w:hAnsi="Arial" w:cs="Arial"/>
        </w:rPr>
      </w:pPr>
    </w:p>
    <w:p w14:paraId="5482B6EE" w14:textId="46B4A1DF" w:rsidR="00551949" w:rsidRDefault="00551949" w:rsidP="00D60720">
      <w:pPr>
        <w:spacing w:line="360" w:lineRule="auto"/>
        <w:jc w:val="both"/>
        <w:rPr>
          <w:rFonts w:ascii="Arial" w:hAnsi="Arial" w:cs="Arial"/>
        </w:rPr>
      </w:pPr>
      <w:r w:rsidRPr="00551949">
        <w:rPr>
          <w:rFonts w:ascii="Arial" w:hAnsi="Arial" w:cs="Arial"/>
        </w:rPr>
        <w:t>A pesar del incremento, el Gobierno Federal proyecta reducir el déficit presupuestario de 5.9% del PIB en 2025 a 4.1% en 2026, reflejando una estrategia de consolidación fiscal gradual.</w:t>
      </w:r>
      <w:r>
        <w:rPr>
          <w:rFonts w:ascii="Arial" w:hAnsi="Arial" w:cs="Arial"/>
        </w:rPr>
        <w:t xml:space="preserve"> </w:t>
      </w:r>
      <w:r w:rsidRPr="00551949">
        <w:rPr>
          <w:rFonts w:ascii="Arial" w:hAnsi="Arial" w:cs="Arial"/>
        </w:rPr>
        <w:t>Para 2026, se proyecta un endeudamiento neto interno de 1.12 billones de pesos y externo de 0.24 billones, cifras equivalentes a un déficit público de 4.1% del PIB.</w:t>
      </w:r>
    </w:p>
    <w:p w14:paraId="50F16654" w14:textId="77777777" w:rsidR="00F61DD1" w:rsidRPr="00551949" w:rsidRDefault="00F61DD1" w:rsidP="00D60720">
      <w:pPr>
        <w:spacing w:line="360" w:lineRule="auto"/>
        <w:jc w:val="both"/>
        <w:rPr>
          <w:rFonts w:ascii="Arial" w:hAnsi="Arial" w:cs="Arial"/>
        </w:rPr>
      </w:pPr>
    </w:p>
    <w:p w14:paraId="33676A24" w14:textId="35B09E08" w:rsidR="00551949" w:rsidRDefault="00551949" w:rsidP="00D60720">
      <w:pPr>
        <w:spacing w:line="360" w:lineRule="auto"/>
        <w:jc w:val="both"/>
        <w:rPr>
          <w:rFonts w:ascii="Arial" w:hAnsi="Arial" w:cs="Arial"/>
        </w:rPr>
      </w:pPr>
      <w:r w:rsidRPr="00551949">
        <w:rPr>
          <w:rFonts w:ascii="Arial" w:hAnsi="Arial" w:cs="Arial"/>
        </w:rPr>
        <w:t>Este nivel de endeudamiento es moderado y sostenible, según los estándares internacionales, y su reducción respecto a 2025 refleja la intención de contener el crecimiento del pasivo financiero del sector público.</w:t>
      </w:r>
    </w:p>
    <w:p w14:paraId="58ED51FC" w14:textId="77777777" w:rsidR="00D60720" w:rsidRPr="00551949" w:rsidRDefault="00D60720" w:rsidP="00D60720">
      <w:pPr>
        <w:spacing w:line="360" w:lineRule="auto"/>
        <w:jc w:val="both"/>
        <w:rPr>
          <w:rFonts w:ascii="Arial" w:hAnsi="Arial" w:cs="Arial"/>
        </w:rPr>
      </w:pPr>
    </w:p>
    <w:p w14:paraId="10DDC961" w14:textId="7AE1C5C5" w:rsidR="00054601" w:rsidRPr="007F688D" w:rsidRDefault="00E0411E" w:rsidP="00D60720">
      <w:pPr>
        <w:spacing w:line="360" w:lineRule="auto"/>
        <w:jc w:val="both"/>
        <w:rPr>
          <w:rFonts w:ascii="Arial" w:hAnsi="Arial" w:cs="Arial"/>
        </w:rPr>
      </w:pPr>
      <w:r w:rsidRPr="00E0411E">
        <w:rPr>
          <w:rFonts w:ascii="Arial" w:hAnsi="Arial" w:cs="Arial"/>
        </w:rPr>
        <w:t>Para las entidades federativas, este marco fiscal representa tanto una oportunidad como un desafío.</w:t>
      </w:r>
      <w:r w:rsidR="00551949">
        <w:rPr>
          <w:rFonts w:ascii="Arial" w:hAnsi="Arial" w:cs="Arial"/>
        </w:rPr>
        <w:t xml:space="preserve"> </w:t>
      </w:r>
      <w:r w:rsidRPr="00E0411E">
        <w:rPr>
          <w:rFonts w:ascii="Arial" w:hAnsi="Arial" w:cs="Arial"/>
        </w:rPr>
        <w:t>Por un lado, la estabilidad macroeconómica federal genera condiciones favorables para mantener el flujo de participaciones y aportaciones, así como tasas de financiamiento más bajas; pero por otro, la menor expansión del gasto público federal obliga a los estados a fortalecer sus estrategias locales de recaudación, eficiencia y planeación multianual del gasto.</w:t>
      </w:r>
    </w:p>
    <w:p w14:paraId="48646137" w14:textId="0B0B8FA3" w:rsidR="00054601" w:rsidRPr="00F61DD1" w:rsidRDefault="00054601" w:rsidP="00D60720">
      <w:pPr>
        <w:pStyle w:val="Prrafodelista"/>
        <w:numPr>
          <w:ilvl w:val="1"/>
          <w:numId w:val="37"/>
        </w:numPr>
        <w:spacing w:line="360" w:lineRule="auto"/>
        <w:jc w:val="both"/>
        <w:rPr>
          <w:rFonts w:ascii="Arial" w:hAnsi="Arial" w:cs="Arial"/>
        </w:rPr>
      </w:pPr>
      <w:r w:rsidRPr="00F61DD1">
        <w:rPr>
          <w:rFonts w:ascii="Arial" w:hAnsi="Arial" w:cs="Arial"/>
          <w:b/>
          <w:bCs/>
        </w:rPr>
        <w:t>Riesgos y Desafíos</w:t>
      </w:r>
    </w:p>
    <w:p w14:paraId="106591F7" w14:textId="77777777" w:rsidR="00054601" w:rsidRDefault="00054601" w:rsidP="00D60720">
      <w:pPr>
        <w:spacing w:line="360" w:lineRule="auto"/>
        <w:jc w:val="both"/>
        <w:rPr>
          <w:rFonts w:ascii="Arial" w:hAnsi="Arial" w:cs="Arial"/>
        </w:rPr>
      </w:pPr>
    </w:p>
    <w:p w14:paraId="54F0845D" w14:textId="77777777" w:rsidR="00A078D2" w:rsidRDefault="00A078D2" w:rsidP="00D60720">
      <w:pPr>
        <w:spacing w:line="360" w:lineRule="auto"/>
        <w:jc w:val="both"/>
        <w:rPr>
          <w:rFonts w:ascii="Arial" w:hAnsi="Arial" w:cs="Arial"/>
        </w:rPr>
      </w:pPr>
      <w:r w:rsidRPr="00A078D2">
        <w:rPr>
          <w:rFonts w:ascii="Arial" w:hAnsi="Arial" w:cs="Arial"/>
        </w:rPr>
        <w:t>El entorno económico nacional proyectado para 2026 ofrece un escenario de estabilidad y crecimiento moderado, sustentado en políticas fiscales prudentes, control de la inflación y una estrategia de gasto público orientada al bienestar social y a la inversión productiva.</w:t>
      </w:r>
    </w:p>
    <w:p w14:paraId="44A582A5" w14:textId="77777777" w:rsidR="00F61DD1" w:rsidRPr="00A078D2" w:rsidRDefault="00F61DD1" w:rsidP="00D60720">
      <w:pPr>
        <w:spacing w:line="360" w:lineRule="auto"/>
        <w:jc w:val="both"/>
        <w:rPr>
          <w:rFonts w:ascii="Arial" w:hAnsi="Arial" w:cs="Arial"/>
        </w:rPr>
      </w:pPr>
    </w:p>
    <w:p w14:paraId="2768B08B" w14:textId="2A12CEDC" w:rsidR="00A078D2" w:rsidRDefault="00A078D2" w:rsidP="00D60720">
      <w:pPr>
        <w:spacing w:line="360" w:lineRule="auto"/>
        <w:jc w:val="both"/>
        <w:rPr>
          <w:rFonts w:ascii="Arial" w:hAnsi="Arial" w:cs="Arial"/>
        </w:rPr>
      </w:pPr>
      <w:r w:rsidRPr="00A078D2">
        <w:rPr>
          <w:rFonts w:ascii="Arial" w:hAnsi="Arial" w:cs="Arial"/>
        </w:rPr>
        <w:t>Sin embargo, la economía mexicana enfrenta riesgos estructurales y coyunturales que podrían afectar el desempeño de las finanzas públicas, la recaudación y el flujo de recursos hacia las entidades federativas.</w:t>
      </w:r>
    </w:p>
    <w:p w14:paraId="21BE15C0" w14:textId="77777777" w:rsidR="00F61DD1" w:rsidRDefault="00F61DD1" w:rsidP="00D60720">
      <w:pPr>
        <w:spacing w:line="360" w:lineRule="auto"/>
        <w:jc w:val="both"/>
        <w:rPr>
          <w:rFonts w:ascii="Arial" w:hAnsi="Arial" w:cs="Arial"/>
        </w:rPr>
      </w:pPr>
    </w:p>
    <w:p w14:paraId="3F214FAE" w14:textId="23EF65CD" w:rsidR="00D2562C" w:rsidRDefault="00D2562C" w:rsidP="00D60720">
      <w:pPr>
        <w:spacing w:line="360" w:lineRule="auto"/>
        <w:jc w:val="both"/>
        <w:rPr>
          <w:rFonts w:ascii="Arial" w:hAnsi="Arial" w:cs="Arial"/>
        </w:rPr>
      </w:pPr>
      <w:r>
        <w:rPr>
          <w:rFonts w:ascii="Arial" w:hAnsi="Arial" w:cs="Arial"/>
        </w:rPr>
        <w:t>Por otro lado, m</w:t>
      </w:r>
      <w:r w:rsidRPr="00D2562C">
        <w:rPr>
          <w:rFonts w:ascii="Arial" w:hAnsi="Arial" w:cs="Arial"/>
        </w:rPr>
        <w:t>ás allá de los riesgos coyunturales, México enfrenta desafíos estructurales que condicionan la sostenibilidad del crecimiento y la eficacia del gasto público</w:t>
      </w:r>
      <w:r w:rsidR="00F61DD1">
        <w:rPr>
          <w:rFonts w:ascii="Arial" w:hAnsi="Arial" w:cs="Arial"/>
        </w:rPr>
        <w:t>:</w:t>
      </w:r>
    </w:p>
    <w:p w14:paraId="3B57C856" w14:textId="77777777" w:rsidR="00F61DD1" w:rsidRDefault="00F61DD1" w:rsidP="00D60720">
      <w:pPr>
        <w:spacing w:line="360" w:lineRule="auto"/>
        <w:jc w:val="both"/>
        <w:rPr>
          <w:rFonts w:ascii="Arial" w:hAnsi="Arial" w:cs="Arial"/>
        </w:rPr>
      </w:pPr>
    </w:p>
    <w:p w14:paraId="674FB8B1" w14:textId="0F8C40B8" w:rsidR="00D2562C" w:rsidRDefault="00D2562C" w:rsidP="00D60720">
      <w:pPr>
        <w:pStyle w:val="Prrafodelista"/>
        <w:numPr>
          <w:ilvl w:val="0"/>
          <w:numId w:val="25"/>
        </w:numPr>
        <w:spacing w:line="360" w:lineRule="auto"/>
        <w:jc w:val="both"/>
        <w:rPr>
          <w:rFonts w:ascii="Arial" w:hAnsi="Arial" w:cs="Arial"/>
        </w:rPr>
      </w:pPr>
      <w:r w:rsidRPr="00D2562C">
        <w:rPr>
          <w:rFonts w:ascii="Arial" w:hAnsi="Arial" w:cs="Arial"/>
        </w:rPr>
        <w:t>La recaudación federal sigue concentrada en pocos contribuyentes grandes y en impuestos indirectos; se requiere fortalecer la eficiencia administrativa y la formalización económica.</w:t>
      </w:r>
    </w:p>
    <w:p w14:paraId="3A6C6E05" w14:textId="77777777" w:rsidR="00D2562C" w:rsidRPr="00D2562C" w:rsidRDefault="00D2562C" w:rsidP="00D60720">
      <w:pPr>
        <w:pStyle w:val="Prrafodelista"/>
        <w:numPr>
          <w:ilvl w:val="0"/>
          <w:numId w:val="25"/>
        </w:numPr>
        <w:spacing w:line="360" w:lineRule="auto"/>
        <w:jc w:val="both"/>
        <w:rPr>
          <w:rFonts w:ascii="Arial" w:hAnsi="Arial" w:cs="Arial"/>
        </w:rPr>
      </w:pPr>
      <w:r w:rsidRPr="00D2562C">
        <w:rPr>
          <w:rFonts w:ascii="Arial" w:hAnsi="Arial" w:cs="Arial"/>
        </w:rPr>
        <w:t>Rigidez presupuestaria derivada del elevado peso de los compromisos ineludibles (servicios personales, pensiones, deuda, participaciones y aportaciones), lo que restringe la reasignación de recursos ante choques imprevistos.</w:t>
      </w:r>
    </w:p>
    <w:p w14:paraId="2CAB9E70" w14:textId="6429A039" w:rsidR="00D2562C" w:rsidRDefault="00D2562C" w:rsidP="00D60720">
      <w:pPr>
        <w:pStyle w:val="Prrafodelista"/>
        <w:numPr>
          <w:ilvl w:val="0"/>
          <w:numId w:val="25"/>
        </w:numPr>
        <w:spacing w:line="360" w:lineRule="auto"/>
        <w:jc w:val="both"/>
        <w:rPr>
          <w:rFonts w:ascii="Arial" w:hAnsi="Arial" w:cs="Arial"/>
        </w:rPr>
      </w:pPr>
      <w:r w:rsidRPr="00D2562C">
        <w:rPr>
          <w:rFonts w:ascii="Arial" w:hAnsi="Arial" w:cs="Arial"/>
        </w:rPr>
        <w:t>Aumento del costo financiero de la deuda pública en caso de que la reducción de tasas internacionales no sea tan pronunciada o se revierta ante presiones inflacionarias.</w:t>
      </w:r>
    </w:p>
    <w:p w14:paraId="60490302" w14:textId="5DE54431" w:rsidR="00D2562C" w:rsidRDefault="00D2562C" w:rsidP="00D60720">
      <w:pPr>
        <w:pStyle w:val="Prrafodelista"/>
        <w:numPr>
          <w:ilvl w:val="0"/>
          <w:numId w:val="25"/>
        </w:numPr>
        <w:spacing w:line="360" w:lineRule="auto"/>
        <w:jc w:val="both"/>
        <w:rPr>
          <w:rFonts w:ascii="Arial" w:hAnsi="Arial" w:cs="Arial"/>
        </w:rPr>
      </w:pPr>
      <w:r w:rsidRPr="00D2562C">
        <w:rPr>
          <w:rFonts w:ascii="Arial" w:hAnsi="Arial" w:cs="Arial"/>
        </w:rPr>
        <w:t>La dependencia de exportaciones hacia Estados Unidos y de sectores manufactureros concentrados limita la resiliencia ante choques externos</w:t>
      </w:r>
      <w:r>
        <w:rPr>
          <w:rFonts w:ascii="Arial" w:hAnsi="Arial" w:cs="Arial"/>
        </w:rPr>
        <w:t>, ante un posible cambio en las reglas de origen como consecuencia de la renegociación del T-MEC.</w:t>
      </w:r>
    </w:p>
    <w:p w14:paraId="678D5443" w14:textId="6D8D2D38" w:rsidR="00054601" w:rsidRDefault="00D2562C" w:rsidP="00D60720">
      <w:pPr>
        <w:pStyle w:val="Prrafodelista"/>
        <w:numPr>
          <w:ilvl w:val="0"/>
          <w:numId w:val="25"/>
        </w:numPr>
        <w:spacing w:line="360" w:lineRule="auto"/>
        <w:jc w:val="both"/>
        <w:rPr>
          <w:rFonts w:ascii="Arial" w:hAnsi="Arial" w:cs="Arial"/>
        </w:rPr>
      </w:pPr>
      <w:r w:rsidRPr="00D2562C">
        <w:rPr>
          <w:rFonts w:ascii="Arial" w:hAnsi="Arial" w:cs="Arial"/>
        </w:rPr>
        <w:t>La persistencia de focos de inseguridad, violencia regional y debilidad institucional en procuración de justicia representa uno de los riesgos más significativos para la inversión privada y la estabilidad presupuestaria.</w:t>
      </w:r>
    </w:p>
    <w:p w14:paraId="50254B9B" w14:textId="77777777" w:rsidR="006A6788" w:rsidRPr="00DB1597" w:rsidRDefault="006A6788" w:rsidP="00D60720">
      <w:pPr>
        <w:pStyle w:val="Prrafodelista"/>
        <w:spacing w:line="360" w:lineRule="auto"/>
        <w:jc w:val="both"/>
        <w:rPr>
          <w:rFonts w:ascii="Arial" w:hAnsi="Arial" w:cs="Arial"/>
        </w:rPr>
      </w:pPr>
    </w:p>
    <w:p w14:paraId="27834769" w14:textId="1E3D6D41" w:rsidR="00054601" w:rsidRDefault="00054601" w:rsidP="00D60720">
      <w:pPr>
        <w:pStyle w:val="NormalWeb"/>
        <w:numPr>
          <w:ilvl w:val="0"/>
          <w:numId w:val="37"/>
        </w:numPr>
        <w:spacing w:before="0" w:beforeAutospacing="0" w:after="0" w:afterAutospacing="0" w:line="360" w:lineRule="auto"/>
        <w:jc w:val="both"/>
        <w:rPr>
          <w:rStyle w:val="Textoennegrita"/>
          <w:rFonts w:ascii="Arial" w:hAnsi="Arial" w:cs="Arial"/>
          <w:u w:val="single"/>
        </w:rPr>
      </w:pPr>
      <w:r w:rsidRPr="00E85C8C">
        <w:rPr>
          <w:rStyle w:val="Textoennegrita"/>
          <w:rFonts w:ascii="Arial" w:hAnsi="Arial" w:cs="Arial"/>
          <w:u w:val="single"/>
        </w:rPr>
        <w:t>Entorno Económico Estatal</w:t>
      </w:r>
    </w:p>
    <w:p w14:paraId="168A1A86" w14:textId="77777777" w:rsidR="00DB1597" w:rsidRPr="00E85C8C" w:rsidRDefault="00DB1597" w:rsidP="00D60720">
      <w:pPr>
        <w:pStyle w:val="NormalWeb"/>
        <w:spacing w:before="0" w:beforeAutospacing="0" w:after="0" w:afterAutospacing="0" w:line="360" w:lineRule="auto"/>
        <w:ind w:left="720"/>
        <w:jc w:val="both"/>
        <w:rPr>
          <w:rStyle w:val="Textoennegrita"/>
          <w:rFonts w:ascii="Arial" w:hAnsi="Arial" w:cs="Arial"/>
          <w:u w:val="single"/>
        </w:rPr>
      </w:pPr>
    </w:p>
    <w:p w14:paraId="7917C831" w14:textId="77777777" w:rsidR="00034A48" w:rsidRDefault="00034A48" w:rsidP="00D60720">
      <w:pPr>
        <w:spacing w:line="360" w:lineRule="auto"/>
        <w:jc w:val="both"/>
        <w:rPr>
          <w:rFonts w:ascii="Arial" w:hAnsi="Arial" w:cs="Arial"/>
        </w:rPr>
      </w:pPr>
      <w:r w:rsidRPr="00034A48">
        <w:rPr>
          <w:rFonts w:ascii="Arial" w:hAnsi="Arial" w:cs="Arial"/>
        </w:rPr>
        <w:t>Michoacán, como estado con vocación productiva orientada a actividades de los sectores terciario y primario, muestra resultados más sólidos en las revisiones de los indicadores de actividad económica en dichos sectores; sin embargo, también es importante resaltar sus resultados en materia de exportaciones y atracción de inversiones.</w:t>
      </w:r>
    </w:p>
    <w:p w14:paraId="606AD5FA" w14:textId="77777777" w:rsidR="00F61DD1" w:rsidRDefault="00F61DD1" w:rsidP="00D60720">
      <w:pPr>
        <w:spacing w:line="360" w:lineRule="auto"/>
        <w:jc w:val="both"/>
        <w:rPr>
          <w:rFonts w:ascii="Arial" w:hAnsi="Arial" w:cs="Arial"/>
        </w:rPr>
      </w:pPr>
    </w:p>
    <w:p w14:paraId="2588E696" w14:textId="09BFE324" w:rsidR="000A13C2" w:rsidRDefault="000A13C2" w:rsidP="00D60720">
      <w:pPr>
        <w:spacing w:line="360" w:lineRule="auto"/>
        <w:jc w:val="both"/>
        <w:rPr>
          <w:rFonts w:ascii="Arial" w:hAnsi="Arial" w:cs="Arial"/>
        </w:rPr>
      </w:pPr>
      <w:r w:rsidRPr="000A13C2">
        <w:rPr>
          <w:rFonts w:ascii="Arial" w:hAnsi="Arial" w:cs="Arial"/>
        </w:rPr>
        <w:t>En términos relativos, según los datos más recientes del PIBE 2023 del INEGI, Michoacán ocupa la posición número 11 en crecimiento económico (una posición por encima de la obtenida en 2022), y por encima del crecimiento nacional</w:t>
      </w:r>
      <w:r>
        <w:rPr>
          <w:rFonts w:ascii="Arial" w:hAnsi="Arial" w:cs="Arial"/>
        </w:rPr>
        <w:t>.</w:t>
      </w:r>
    </w:p>
    <w:p w14:paraId="72445401" w14:textId="77777777" w:rsidR="00F61DD1" w:rsidRDefault="00F61DD1" w:rsidP="00D60720">
      <w:pPr>
        <w:spacing w:line="360" w:lineRule="auto"/>
        <w:jc w:val="both"/>
        <w:rPr>
          <w:rFonts w:ascii="Arial" w:hAnsi="Arial" w:cs="Arial"/>
        </w:rPr>
      </w:pPr>
    </w:p>
    <w:p w14:paraId="36E1355B" w14:textId="366B9D26" w:rsidR="000A13C2" w:rsidRDefault="000A13C2" w:rsidP="00D60720">
      <w:pPr>
        <w:spacing w:line="360" w:lineRule="auto"/>
        <w:jc w:val="both"/>
        <w:rPr>
          <w:rFonts w:ascii="Arial" w:hAnsi="Arial" w:cs="Arial"/>
        </w:rPr>
      </w:pPr>
      <w:r w:rsidRPr="000A13C2">
        <w:rPr>
          <w:rFonts w:ascii="Arial" w:hAnsi="Arial" w:cs="Arial"/>
        </w:rPr>
        <w:t>Por su parte, el Indicador Trimestral de la Actividad Económica al segundo trimestre de 2025 muestra para Michoacán un crecimiento del 3.0% respecto al trimestre anterior, colocándolo en la segunda posición a nivel nacional, sólo por detrás del estado de Hidalgo; y un 3.7% respecto al mismo trimestre de 2024, ocupando el quinto lugar. Cabe señalar que varias entidades tuvieron contracciones muy significativas en su actividad económica en el trimestre en cuestión.</w:t>
      </w:r>
    </w:p>
    <w:p w14:paraId="002A15FF" w14:textId="77777777" w:rsidR="00D60720" w:rsidRDefault="00D60720" w:rsidP="00D60720">
      <w:pPr>
        <w:spacing w:line="360" w:lineRule="auto"/>
        <w:jc w:val="both"/>
        <w:rPr>
          <w:rFonts w:ascii="Arial" w:hAnsi="Arial" w:cs="Arial"/>
        </w:rPr>
      </w:pPr>
    </w:p>
    <w:p w14:paraId="0F02C7BA" w14:textId="7B1C45B6" w:rsidR="000A13C2" w:rsidRPr="00D03AEF" w:rsidRDefault="00D03AEF" w:rsidP="00D60720">
      <w:pPr>
        <w:spacing w:line="360" w:lineRule="auto"/>
        <w:jc w:val="both"/>
        <w:rPr>
          <w:rFonts w:ascii="Arial" w:hAnsi="Arial" w:cs="Arial"/>
        </w:rPr>
      </w:pPr>
      <w:r w:rsidRPr="00D03AEF">
        <w:rPr>
          <w:rFonts w:ascii="Arial" w:hAnsi="Arial" w:cs="Arial"/>
        </w:rPr>
        <w:t>El sector agrícola representa cerca del 80% de las exportaciones (aguacate, guayaba, berries, mango, entre otros).</w:t>
      </w:r>
      <w:r>
        <w:rPr>
          <w:rFonts w:ascii="Arial" w:hAnsi="Arial" w:cs="Arial"/>
        </w:rPr>
        <w:t xml:space="preserve"> </w:t>
      </w:r>
      <w:r w:rsidRPr="00D03AEF">
        <w:rPr>
          <w:rFonts w:ascii="Arial" w:hAnsi="Arial" w:cs="Arial"/>
        </w:rPr>
        <w:t>En 2025, al segundo trimestre, el valor agrícola fue de 1,242 millones de dólares y el total de exportaciones de Michoacán llegó a 1,706 millones de dólares; el sector manufacturero cayó 14.7% anual, sin participación minera de relevancia.</w:t>
      </w:r>
    </w:p>
    <w:p w14:paraId="40352425" w14:textId="77777777" w:rsidR="000A13C2" w:rsidRDefault="000A13C2" w:rsidP="00D60720">
      <w:pPr>
        <w:spacing w:line="360" w:lineRule="auto"/>
        <w:jc w:val="both"/>
        <w:rPr>
          <w:rFonts w:ascii="Arial" w:hAnsi="Arial" w:cs="Arial"/>
        </w:rPr>
      </w:pPr>
    </w:p>
    <w:p w14:paraId="6397E921" w14:textId="77777777" w:rsidR="000A13C2" w:rsidRPr="000A13C2" w:rsidRDefault="000A13C2" w:rsidP="00D60720">
      <w:pPr>
        <w:jc w:val="center"/>
        <w:rPr>
          <w:rFonts w:ascii="Arial" w:hAnsi="Arial" w:cs="Arial"/>
          <w:b/>
          <w:bCs/>
        </w:rPr>
      </w:pPr>
      <w:r w:rsidRPr="000A13C2">
        <w:rPr>
          <w:rFonts w:ascii="Arial" w:hAnsi="Arial" w:cs="Arial"/>
          <w:b/>
          <w:bCs/>
        </w:rPr>
        <w:t>Indicador Trimestral de la Actividad Económica Estatal</w:t>
      </w:r>
    </w:p>
    <w:p w14:paraId="55D78655" w14:textId="77777777" w:rsidR="000A13C2" w:rsidRPr="000A13C2" w:rsidRDefault="000A13C2" w:rsidP="00D60720">
      <w:pPr>
        <w:jc w:val="center"/>
        <w:rPr>
          <w:rFonts w:ascii="Arial" w:hAnsi="Arial" w:cs="Arial"/>
          <w:b/>
          <w:bCs/>
        </w:rPr>
      </w:pPr>
      <w:r w:rsidRPr="000A13C2">
        <w:rPr>
          <w:rFonts w:ascii="Arial" w:hAnsi="Arial" w:cs="Arial"/>
          <w:b/>
          <w:bCs/>
        </w:rPr>
        <w:t>Segundo Trimestre 2024</w:t>
      </w:r>
    </w:p>
    <w:p w14:paraId="4C33357D" w14:textId="4D38FAE9" w:rsidR="000A13C2" w:rsidRPr="004E6C1F" w:rsidRDefault="000A13C2" w:rsidP="00D60720">
      <w:pPr>
        <w:jc w:val="center"/>
        <w:rPr>
          <w:rFonts w:ascii="Arial" w:eastAsiaTheme="minorEastAsia" w:hAnsi="Arial" w:cs="Arial"/>
          <w:i/>
          <w:iCs/>
          <w:lang w:eastAsia="en-US"/>
        </w:rPr>
      </w:pPr>
      <w:r w:rsidRPr="000A13C2">
        <w:rPr>
          <w:rFonts w:ascii="Arial" w:hAnsi="Arial" w:cs="Arial"/>
          <w:i/>
          <w:iCs/>
        </w:rPr>
        <w:t>Variación porcentual anual</w:t>
      </w:r>
    </w:p>
    <w:p w14:paraId="6ED273B5" w14:textId="543AD00B" w:rsidR="000A13C2" w:rsidRDefault="000A13C2" w:rsidP="00D60720">
      <w:pPr>
        <w:spacing w:line="360" w:lineRule="auto"/>
        <w:jc w:val="both"/>
        <w:rPr>
          <w:rFonts w:ascii="Arial" w:hAnsi="Arial" w:cs="Arial"/>
          <w:sz w:val="20"/>
          <w:szCs w:val="20"/>
        </w:rPr>
      </w:pPr>
      <w:r>
        <w:rPr>
          <w:noProof/>
        </w:rPr>
        <w:drawing>
          <wp:inline distT="0" distB="0" distL="0" distR="0" wp14:anchorId="739E9F6D" wp14:editId="402B03AE">
            <wp:extent cx="5486400" cy="3488073"/>
            <wp:effectExtent l="0" t="0" r="0" b="17145"/>
            <wp:docPr id="2093245332" name="Gráfico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DECDA8C2-4CBF-B076-9F41-609DDB25BA1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ascii="Arial" w:hAnsi="Arial" w:cs="Arial"/>
        </w:rPr>
        <w:br/>
      </w:r>
      <w:r w:rsidRPr="000A13C2">
        <w:rPr>
          <w:rFonts w:ascii="Arial" w:hAnsi="Arial" w:cs="Arial"/>
          <w:sz w:val="20"/>
          <w:szCs w:val="20"/>
        </w:rPr>
        <w:t>Fuente: Elaboración propia con base en datos del Sistema de Cuentas Nacionales de México, Indicador Trimestral de la Actividad Económica Estatal, Año Base 2018. INEGI.</w:t>
      </w:r>
    </w:p>
    <w:p w14:paraId="426D15A5" w14:textId="77777777" w:rsidR="00FC2D3D" w:rsidRPr="000A13C2" w:rsidRDefault="00FC2D3D" w:rsidP="00D60720">
      <w:pPr>
        <w:spacing w:line="360" w:lineRule="auto"/>
        <w:jc w:val="both"/>
        <w:rPr>
          <w:rFonts w:ascii="Arial" w:hAnsi="Arial" w:cs="Arial"/>
        </w:rPr>
      </w:pPr>
    </w:p>
    <w:p w14:paraId="3D2A55C0" w14:textId="6DE4372D" w:rsidR="00987794" w:rsidRDefault="00987794" w:rsidP="00D60720">
      <w:pPr>
        <w:pStyle w:val="NormalWeb"/>
        <w:spacing w:before="0" w:beforeAutospacing="0" w:after="0" w:afterAutospacing="0" w:line="360" w:lineRule="auto"/>
        <w:jc w:val="both"/>
        <w:rPr>
          <w:rFonts w:ascii="Arial" w:hAnsi="Arial" w:cs="Arial"/>
        </w:rPr>
      </w:pPr>
      <w:r w:rsidRPr="00987794">
        <w:rPr>
          <w:rFonts w:ascii="Arial" w:hAnsi="Arial" w:cs="Arial"/>
        </w:rPr>
        <w:t xml:space="preserve">En el perfil económico de Michoacán, se reporta que </w:t>
      </w:r>
      <w:r w:rsidRPr="00987794">
        <w:rPr>
          <w:rStyle w:val="Textoennegrita"/>
          <w:rFonts w:ascii="Arial" w:hAnsi="Arial" w:cs="Arial"/>
          <w:b w:val="0"/>
          <w:bCs w:val="0"/>
        </w:rPr>
        <w:t>la Inversión Extranjera Directa (IED</w:t>
      </w:r>
      <w:r w:rsidRPr="00987794">
        <w:rPr>
          <w:rStyle w:val="Textoennegrita"/>
          <w:rFonts w:ascii="Arial" w:hAnsi="Arial" w:cs="Arial"/>
        </w:rPr>
        <w:t>)</w:t>
      </w:r>
      <w:r w:rsidRPr="00987794">
        <w:rPr>
          <w:rFonts w:ascii="Arial" w:hAnsi="Arial" w:cs="Arial"/>
        </w:rPr>
        <w:t xml:space="preserve"> acumulada desde enero de 1999 hasta diciembre de 2024 es de </w:t>
      </w:r>
      <w:r w:rsidRPr="00987794">
        <w:rPr>
          <w:rStyle w:val="Textoennegrita"/>
          <w:rFonts w:ascii="Arial" w:hAnsi="Arial" w:cs="Arial"/>
          <w:b w:val="0"/>
          <w:bCs w:val="0"/>
        </w:rPr>
        <w:t>10,195 millones</w:t>
      </w:r>
      <w:r w:rsidR="00525F56">
        <w:rPr>
          <w:rStyle w:val="Textoennegrita"/>
          <w:rFonts w:ascii="Arial" w:hAnsi="Arial" w:cs="Arial"/>
          <w:b w:val="0"/>
          <w:bCs w:val="0"/>
        </w:rPr>
        <w:t xml:space="preserve"> de dólares</w:t>
      </w:r>
      <w:r w:rsidRPr="00987794">
        <w:rPr>
          <w:rFonts w:ascii="Arial" w:hAnsi="Arial" w:cs="Arial"/>
        </w:rPr>
        <w:t>, de los cuales 4,821 millones corresponden a nuevas inversiones y 4,477 millones a reinversión de utilidades</w:t>
      </w:r>
      <w:r w:rsidR="00FC2D3D">
        <w:rPr>
          <w:rFonts w:ascii="Arial" w:hAnsi="Arial" w:cs="Arial"/>
        </w:rPr>
        <w:t>.</w:t>
      </w:r>
    </w:p>
    <w:p w14:paraId="6725AA30" w14:textId="77777777" w:rsidR="00FC2D3D" w:rsidRPr="00987794" w:rsidRDefault="00FC2D3D" w:rsidP="00D60720">
      <w:pPr>
        <w:pStyle w:val="NormalWeb"/>
        <w:spacing w:before="0" w:beforeAutospacing="0" w:after="0" w:afterAutospacing="0" w:line="360" w:lineRule="auto"/>
        <w:jc w:val="both"/>
        <w:rPr>
          <w:rFonts w:ascii="Arial" w:hAnsi="Arial" w:cs="Arial"/>
        </w:rPr>
      </w:pPr>
    </w:p>
    <w:p w14:paraId="5A8AD681" w14:textId="7D479700" w:rsidR="00DB1597" w:rsidRDefault="00987794" w:rsidP="00D60720">
      <w:pPr>
        <w:pStyle w:val="NormalWeb"/>
        <w:spacing w:before="0" w:beforeAutospacing="0" w:after="0" w:afterAutospacing="0" w:line="360" w:lineRule="auto"/>
        <w:jc w:val="both"/>
        <w:rPr>
          <w:rFonts w:ascii="Arial" w:hAnsi="Arial" w:cs="Arial"/>
          <w:lang w:val="es-ES"/>
        </w:rPr>
      </w:pPr>
      <w:r w:rsidRPr="00987794">
        <w:rPr>
          <w:rFonts w:ascii="Arial" w:hAnsi="Arial" w:cs="Arial"/>
        </w:rPr>
        <w:t xml:space="preserve">Solo en el año 2024, la IED para Michoacán fue de </w:t>
      </w:r>
      <w:r w:rsidRPr="00987794">
        <w:rPr>
          <w:rStyle w:val="Textoennegrita"/>
          <w:rFonts w:ascii="Arial" w:hAnsi="Arial" w:cs="Arial"/>
          <w:b w:val="0"/>
          <w:bCs w:val="0"/>
        </w:rPr>
        <w:t>90 millones</w:t>
      </w:r>
      <w:r w:rsidRPr="00987794">
        <w:rPr>
          <w:rFonts w:ascii="Arial" w:hAnsi="Arial" w:cs="Arial"/>
        </w:rPr>
        <w:t xml:space="preserve"> </w:t>
      </w:r>
      <w:r w:rsidR="00525F56">
        <w:rPr>
          <w:rFonts w:ascii="Arial" w:hAnsi="Arial" w:cs="Arial"/>
        </w:rPr>
        <w:t xml:space="preserve">de dólares </w:t>
      </w:r>
      <w:r w:rsidRPr="00987794">
        <w:rPr>
          <w:rFonts w:ascii="Arial" w:hAnsi="Arial" w:cs="Arial"/>
        </w:rPr>
        <w:t>(datos de inversión extranjera dentro del periodo enero-diciembre 2024)</w:t>
      </w:r>
      <w:r w:rsidR="00BE4C7A">
        <w:rPr>
          <w:rFonts w:ascii="Arial" w:hAnsi="Arial" w:cs="Arial"/>
        </w:rPr>
        <w:t xml:space="preserve"> y </w:t>
      </w:r>
      <w:r w:rsidR="00BE4C7A" w:rsidRPr="00BE4C7A">
        <w:rPr>
          <w:rFonts w:ascii="Arial" w:hAnsi="Arial" w:cs="Arial"/>
          <w:lang w:val="es-ES"/>
        </w:rPr>
        <w:t>durante el primer trimestre de 2025, según cifras actualizadas de la Secretaría de Economía, fue de 108.5 millones de dólares corrientes, provenientes, principalmente, de la reinversión de utilidade</w:t>
      </w:r>
      <w:r w:rsidR="000A13C2">
        <w:rPr>
          <w:rFonts w:ascii="Arial" w:hAnsi="Arial" w:cs="Arial"/>
          <w:lang w:val="es-ES"/>
        </w:rPr>
        <w:t>s.</w:t>
      </w:r>
    </w:p>
    <w:p w14:paraId="7FDFEDB6" w14:textId="77777777" w:rsidR="00DB1597" w:rsidRDefault="00DB1597" w:rsidP="00D60720">
      <w:pPr>
        <w:pStyle w:val="NormalWeb"/>
        <w:spacing w:before="0" w:beforeAutospacing="0" w:after="0" w:afterAutospacing="0" w:line="360" w:lineRule="auto"/>
        <w:jc w:val="both"/>
        <w:rPr>
          <w:rFonts w:ascii="Arial" w:hAnsi="Arial" w:cs="Arial"/>
          <w:lang w:val="es-ES"/>
        </w:rPr>
      </w:pPr>
    </w:p>
    <w:p w14:paraId="20202762" w14:textId="77777777" w:rsidR="00BE4C7A" w:rsidRPr="00BE4C7A" w:rsidRDefault="00BE4C7A" w:rsidP="00D60720">
      <w:pPr>
        <w:pStyle w:val="NormalWeb"/>
        <w:spacing w:before="0" w:beforeAutospacing="0" w:after="0" w:afterAutospacing="0"/>
        <w:jc w:val="center"/>
        <w:rPr>
          <w:rFonts w:ascii="Arial" w:hAnsi="Arial" w:cs="Arial"/>
          <w:b/>
          <w:bCs/>
          <w:lang w:val="es-ES"/>
        </w:rPr>
      </w:pPr>
      <w:r w:rsidRPr="00BE4C7A">
        <w:rPr>
          <w:rFonts w:ascii="Arial" w:hAnsi="Arial" w:cs="Arial"/>
          <w:b/>
          <w:bCs/>
          <w:lang w:val="es-ES"/>
        </w:rPr>
        <w:t>Flujo trimestral de IED en Michoacán 2021-2025</w:t>
      </w:r>
    </w:p>
    <w:p w14:paraId="1E1FB312" w14:textId="019FC102" w:rsidR="00BE4C7A" w:rsidRPr="00BE4C7A" w:rsidRDefault="00BE4C7A" w:rsidP="00D60720">
      <w:pPr>
        <w:pStyle w:val="NormalWeb"/>
        <w:spacing w:before="0" w:beforeAutospacing="0" w:after="0" w:afterAutospacing="0"/>
        <w:jc w:val="center"/>
        <w:rPr>
          <w:rFonts w:ascii="Arial" w:hAnsi="Arial" w:cs="Arial"/>
          <w:i/>
          <w:iCs/>
          <w:lang w:val="es-ES"/>
        </w:rPr>
      </w:pPr>
      <w:r w:rsidRPr="00BE4C7A">
        <w:rPr>
          <w:rFonts w:ascii="Arial" w:hAnsi="Arial" w:cs="Arial"/>
          <w:i/>
          <w:iCs/>
          <w:lang w:val="es-ES"/>
        </w:rPr>
        <w:t>Millones de dólares</w:t>
      </w:r>
    </w:p>
    <w:p w14:paraId="21BD9CC5" w14:textId="0BDEA5BD" w:rsidR="00BE4C7A" w:rsidRDefault="00BE4C7A" w:rsidP="00D60720">
      <w:pPr>
        <w:pStyle w:val="NormalWeb"/>
        <w:spacing w:before="0" w:beforeAutospacing="0" w:after="0" w:afterAutospacing="0" w:line="360" w:lineRule="auto"/>
        <w:jc w:val="both"/>
        <w:rPr>
          <w:rFonts w:ascii="Arial" w:hAnsi="Arial" w:cs="Arial"/>
          <w:sz w:val="20"/>
          <w:szCs w:val="20"/>
        </w:rPr>
      </w:pPr>
      <w:r>
        <w:rPr>
          <w:noProof/>
        </w:rPr>
        <w:drawing>
          <wp:inline distT="0" distB="0" distL="0" distR="0" wp14:anchorId="1D8A55CA" wp14:editId="4D4A6B3F">
            <wp:extent cx="5486400" cy="2600403"/>
            <wp:effectExtent l="0" t="0" r="0" b="9525"/>
            <wp:docPr id="2118067981" name="Gráfico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id="{27401B2F-781A-1E5C-73D8-97BD579E50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ascii="Arial" w:hAnsi="Arial" w:cs="Arial"/>
        </w:rPr>
        <w:br/>
      </w:r>
      <w:r w:rsidRPr="00BE4C7A">
        <w:rPr>
          <w:rFonts w:ascii="Arial" w:hAnsi="Arial" w:cs="Arial"/>
          <w:sz w:val="20"/>
          <w:szCs w:val="20"/>
        </w:rPr>
        <w:t>Fuente: Elaboración propia con base en datos de la SE</w:t>
      </w:r>
    </w:p>
    <w:p w14:paraId="2AFEE28F" w14:textId="77777777" w:rsidR="00FC2D3D" w:rsidRPr="00BE4C7A" w:rsidRDefault="00FC2D3D" w:rsidP="00D60720">
      <w:pPr>
        <w:pStyle w:val="NormalWeb"/>
        <w:spacing w:before="0" w:beforeAutospacing="0" w:after="0" w:afterAutospacing="0" w:line="360" w:lineRule="auto"/>
        <w:jc w:val="both"/>
        <w:rPr>
          <w:rFonts w:ascii="Arial" w:hAnsi="Arial" w:cs="Arial"/>
          <w:sz w:val="20"/>
          <w:szCs w:val="20"/>
        </w:rPr>
      </w:pPr>
    </w:p>
    <w:p w14:paraId="54846BCB" w14:textId="1221E6E8" w:rsidR="006A6788" w:rsidRDefault="006A6788" w:rsidP="00D60720">
      <w:pPr>
        <w:pStyle w:val="NormalWeb"/>
        <w:spacing w:before="0" w:beforeAutospacing="0" w:after="0" w:afterAutospacing="0" w:line="360" w:lineRule="auto"/>
        <w:jc w:val="both"/>
        <w:rPr>
          <w:rFonts w:ascii="Arial" w:hAnsi="Arial" w:cs="Arial"/>
        </w:rPr>
      </w:pPr>
      <w:r w:rsidRPr="006A6788">
        <w:rPr>
          <w:rFonts w:ascii="Arial" w:hAnsi="Arial" w:cs="Arial"/>
        </w:rPr>
        <w:t>Por otra parte, Michoacán ocupó el primer lugar en la recepción de ingresos por remesas familiares en el 2024 por un monto de 5, 646.6 millones de dólares, según cifras del Banco de México (BANXICO), representando el 8.7% de las remesas recibidas a nivel nacional.</w:t>
      </w:r>
      <w:r w:rsidR="00EC5AE8">
        <w:rPr>
          <w:rFonts w:ascii="Arial" w:hAnsi="Arial" w:cs="Arial"/>
        </w:rPr>
        <w:t xml:space="preserve"> Sin embargo, e</w:t>
      </w:r>
      <w:r w:rsidR="00EC5AE8" w:rsidRPr="00EC5AE8">
        <w:rPr>
          <w:rFonts w:ascii="Arial" w:hAnsi="Arial" w:cs="Arial"/>
        </w:rPr>
        <w:t>n</w:t>
      </w:r>
      <w:r w:rsidR="00EC5AE8">
        <w:rPr>
          <w:rFonts w:ascii="Arial" w:hAnsi="Arial" w:cs="Arial"/>
        </w:rPr>
        <w:t>tre enero y agosto del</w:t>
      </w:r>
      <w:r w:rsidR="00A608A5">
        <w:rPr>
          <w:rFonts w:ascii="Arial" w:hAnsi="Arial" w:cs="Arial"/>
        </w:rPr>
        <w:t xml:space="preserve"> </w:t>
      </w:r>
      <w:r w:rsidR="00EC5AE8" w:rsidRPr="00EC5AE8">
        <w:rPr>
          <w:rFonts w:ascii="Arial" w:hAnsi="Arial" w:cs="Arial"/>
        </w:rPr>
        <w:t>2025,</w:t>
      </w:r>
      <w:r w:rsidR="00EC5AE8">
        <w:rPr>
          <w:rFonts w:ascii="Arial" w:hAnsi="Arial" w:cs="Arial"/>
        </w:rPr>
        <w:t xml:space="preserve"> </w:t>
      </w:r>
      <w:r w:rsidR="00EC5AE8" w:rsidRPr="00EC5AE8">
        <w:rPr>
          <w:rFonts w:ascii="Arial" w:hAnsi="Arial" w:cs="Arial"/>
        </w:rPr>
        <w:t>Michoacán recibió más de 4</w:t>
      </w:r>
      <w:r w:rsidR="00EC5AE8">
        <w:rPr>
          <w:rFonts w:ascii="Arial" w:hAnsi="Arial" w:cs="Arial"/>
        </w:rPr>
        <w:t>,</w:t>
      </w:r>
      <w:r w:rsidR="00EC5AE8" w:rsidRPr="00EC5AE8">
        <w:rPr>
          <w:rFonts w:ascii="Arial" w:hAnsi="Arial" w:cs="Arial"/>
        </w:rPr>
        <w:t>700 millones de dólares</w:t>
      </w:r>
      <w:r w:rsidR="00EC5AE8">
        <w:rPr>
          <w:rFonts w:ascii="Arial" w:hAnsi="Arial" w:cs="Arial"/>
        </w:rPr>
        <w:t xml:space="preserve">, esto es </w:t>
      </w:r>
      <w:r w:rsidR="00EC5AE8" w:rsidRPr="00EC5AE8">
        <w:rPr>
          <w:rFonts w:ascii="Arial" w:hAnsi="Arial" w:cs="Arial"/>
        </w:rPr>
        <w:t xml:space="preserve">3.5% </w:t>
      </w:r>
      <w:r w:rsidR="00EC5AE8">
        <w:rPr>
          <w:rFonts w:ascii="Arial" w:hAnsi="Arial" w:cs="Arial"/>
        </w:rPr>
        <w:t xml:space="preserve">menos </w:t>
      </w:r>
      <w:r w:rsidR="00A608A5">
        <w:rPr>
          <w:rFonts w:ascii="Arial" w:hAnsi="Arial" w:cs="Arial"/>
        </w:rPr>
        <w:t>respecto al año previo.</w:t>
      </w:r>
      <w:r w:rsidR="00EC5AE8" w:rsidRPr="00EC5AE8">
        <w:rPr>
          <w:rFonts w:ascii="Arial" w:hAnsi="Arial" w:cs="Arial"/>
        </w:rPr>
        <w:t xml:space="preserve"> </w:t>
      </w:r>
      <w:r w:rsidR="00EC5AE8">
        <w:rPr>
          <w:rFonts w:ascii="Arial" w:hAnsi="Arial" w:cs="Arial"/>
        </w:rPr>
        <w:t xml:space="preserve">Aunque </w:t>
      </w:r>
      <w:r w:rsidR="00A608A5">
        <w:rPr>
          <w:rFonts w:ascii="Arial" w:hAnsi="Arial" w:cs="Arial"/>
        </w:rPr>
        <w:t xml:space="preserve">Michoacán </w:t>
      </w:r>
      <w:r w:rsidR="00EC5AE8" w:rsidRPr="00EC5AE8">
        <w:rPr>
          <w:rFonts w:ascii="Arial" w:hAnsi="Arial" w:cs="Arial"/>
        </w:rPr>
        <w:t>mantiene el primer lugar nacional, se h</w:t>
      </w:r>
      <w:r w:rsidR="00A608A5">
        <w:rPr>
          <w:rFonts w:ascii="Arial" w:hAnsi="Arial" w:cs="Arial"/>
        </w:rPr>
        <w:t xml:space="preserve">a registrado una caída respecto </w:t>
      </w:r>
      <w:r w:rsidR="00EC5AE8" w:rsidRPr="00EC5AE8">
        <w:rPr>
          <w:rFonts w:ascii="Arial" w:hAnsi="Arial" w:cs="Arial"/>
        </w:rPr>
        <w:t>al año anterior por factores internacionales como</w:t>
      </w:r>
      <w:r w:rsidR="00A608A5">
        <w:rPr>
          <w:rFonts w:ascii="Arial" w:hAnsi="Arial" w:cs="Arial"/>
        </w:rPr>
        <w:t xml:space="preserve"> el endurecimiento de políticas antimigratorias </w:t>
      </w:r>
      <w:r w:rsidR="00EC5AE8" w:rsidRPr="00EC5AE8">
        <w:rPr>
          <w:rFonts w:ascii="Arial" w:hAnsi="Arial" w:cs="Arial"/>
        </w:rPr>
        <w:t>en Estados Unidos.</w:t>
      </w:r>
    </w:p>
    <w:p w14:paraId="5D86285C" w14:textId="1102C3FA" w:rsidR="00EC5AE8" w:rsidRDefault="00EC5AE8" w:rsidP="00D60720">
      <w:pPr>
        <w:pStyle w:val="NormalWeb"/>
        <w:spacing w:before="0" w:beforeAutospacing="0" w:after="0" w:afterAutospacing="0" w:line="360" w:lineRule="auto"/>
        <w:jc w:val="both"/>
        <w:rPr>
          <w:rFonts w:ascii="Arial" w:hAnsi="Arial" w:cs="Arial"/>
        </w:rPr>
      </w:pPr>
      <w:r>
        <w:rPr>
          <w:rFonts w:ascii="Arial" w:hAnsi="Arial" w:cs="Arial"/>
        </w:rPr>
        <w:t>S</w:t>
      </w:r>
      <w:r w:rsidRPr="00EC5AE8">
        <w:rPr>
          <w:rFonts w:ascii="Arial" w:hAnsi="Arial" w:cs="Arial"/>
        </w:rPr>
        <w:t>i bien la recepción de remesas que representa más del 18% del PIB estatal no es un logro del gobierno</w:t>
      </w:r>
      <w:r>
        <w:rPr>
          <w:rFonts w:ascii="Arial" w:hAnsi="Arial" w:cs="Arial"/>
        </w:rPr>
        <w:t>, por el contrario</w:t>
      </w:r>
      <w:r w:rsidRPr="00EC5AE8">
        <w:rPr>
          <w:rFonts w:ascii="Arial" w:hAnsi="Arial" w:cs="Arial"/>
        </w:rPr>
        <w:t>, es un dato que nos indica la urgente necesidad de elevar la competitividad y mejorar las condiciones económicas y sociales de Michoacán.</w:t>
      </w:r>
    </w:p>
    <w:p w14:paraId="0F4649BD" w14:textId="77777777" w:rsidR="00FC2D3D" w:rsidRPr="00EC5AE8" w:rsidRDefault="00FC2D3D" w:rsidP="00D60720">
      <w:pPr>
        <w:pStyle w:val="NormalWeb"/>
        <w:spacing w:before="0" w:beforeAutospacing="0" w:after="0" w:afterAutospacing="0" w:line="360" w:lineRule="auto"/>
        <w:jc w:val="both"/>
        <w:rPr>
          <w:rFonts w:ascii="Arial" w:hAnsi="Arial" w:cs="Arial"/>
        </w:rPr>
      </w:pPr>
    </w:p>
    <w:p w14:paraId="01656D87" w14:textId="5AE64974" w:rsidR="000A13C2" w:rsidRDefault="00987794" w:rsidP="00D60720">
      <w:pPr>
        <w:pStyle w:val="NormalWeb"/>
        <w:spacing w:before="0" w:beforeAutospacing="0" w:after="0" w:afterAutospacing="0" w:line="360" w:lineRule="auto"/>
        <w:jc w:val="both"/>
        <w:rPr>
          <w:rFonts w:ascii="Arial" w:hAnsi="Arial" w:cs="Arial"/>
        </w:rPr>
      </w:pPr>
      <w:r w:rsidRPr="00987794">
        <w:rPr>
          <w:rFonts w:ascii="Arial" w:hAnsi="Arial" w:cs="Arial"/>
        </w:rPr>
        <w:t>En materia de competitividad,</w:t>
      </w:r>
      <w:r w:rsidR="00525F56">
        <w:rPr>
          <w:rFonts w:ascii="Arial" w:hAnsi="Arial" w:cs="Arial"/>
        </w:rPr>
        <w:t xml:space="preserve"> </w:t>
      </w:r>
      <w:r w:rsidRPr="00987794">
        <w:rPr>
          <w:rFonts w:ascii="Arial" w:hAnsi="Arial" w:cs="Arial"/>
        </w:rPr>
        <w:t xml:space="preserve">Michoacán ocupa el lugar </w:t>
      </w:r>
      <w:r>
        <w:rPr>
          <w:rStyle w:val="Textoennegrita"/>
          <w:rFonts w:ascii="Arial" w:hAnsi="Arial" w:cs="Arial"/>
          <w:b w:val="0"/>
          <w:bCs w:val="0"/>
        </w:rPr>
        <w:t>29</w:t>
      </w:r>
      <w:r w:rsidRPr="00987794">
        <w:rPr>
          <w:rFonts w:ascii="Arial" w:hAnsi="Arial" w:cs="Arial"/>
        </w:rPr>
        <w:t xml:space="preserve"> del Índice de Competitividad Estatal 2025, lo que indica un rezago relativo respecto a otras entidades federativas en atraer inversiones.</w:t>
      </w:r>
    </w:p>
    <w:p w14:paraId="16879D92" w14:textId="77777777" w:rsidR="00FC2D3D" w:rsidRDefault="00FC2D3D" w:rsidP="00D60720">
      <w:pPr>
        <w:pStyle w:val="NormalWeb"/>
        <w:spacing w:before="0" w:beforeAutospacing="0" w:after="0" w:afterAutospacing="0" w:line="360" w:lineRule="auto"/>
        <w:jc w:val="both"/>
        <w:rPr>
          <w:rFonts w:ascii="Arial" w:hAnsi="Arial" w:cs="Arial"/>
        </w:rPr>
      </w:pPr>
    </w:p>
    <w:p w14:paraId="6E5D2DD5" w14:textId="7EF7B63C" w:rsidR="000A13C2" w:rsidRPr="000A13C2" w:rsidRDefault="000A13C2" w:rsidP="00D60720">
      <w:pPr>
        <w:pStyle w:val="NormalWeb"/>
        <w:spacing w:before="0" w:beforeAutospacing="0" w:after="0" w:afterAutospacing="0" w:line="360" w:lineRule="auto"/>
        <w:jc w:val="center"/>
        <w:rPr>
          <w:rFonts w:ascii="Arial" w:hAnsi="Arial" w:cs="Arial"/>
          <w:b/>
          <w:bCs/>
        </w:rPr>
      </w:pPr>
      <w:r w:rsidRPr="000A13C2">
        <w:rPr>
          <w:rFonts w:ascii="Arial" w:hAnsi="Arial" w:cs="Arial"/>
          <w:b/>
          <w:bCs/>
        </w:rPr>
        <w:t>Competitividad Estatal 2025</w:t>
      </w:r>
    </w:p>
    <w:p w14:paraId="6530D486" w14:textId="06C1D63B" w:rsidR="00987794" w:rsidRDefault="00525F56" w:rsidP="00D60720">
      <w:pPr>
        <w:spacing w:line="360" w:lineRule="auto"/>
        <w:jc w:val="center"/>
        <w:rPr>
          <w:rFonts w:ascii="Arial" w:hAnsi="Arial" w:cs="Arial"/>
        </w:rPr>
      </w:pPr>
      <w:r>
        <w:rPr>
          <w:noProof/>
        </w:rPr>
        <w:drawing>
          <wp:inline distT="0" distB="0" distL="0" distR="0" wp14:anchorId="24F472BF" wp14:editId="22B283E1">
            <wp:extent cx="4591050" cy="3060700"/>
            <wp:effectExtent l="0" t="0" r="0" b="6350"/>
            <wp:docPr id="1345736689" name="Imagen 2" descr="Posición de los estados mexicanos en el Índice de Competitividad Estatal 2025 (Top 10 y últimos 5). Michoacán lugar 29 d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sición de los estados mexicanos en el Índice de Competitividad Estatal 2025 (Top 10 y últimos 5). Michoacán lugar 29 de 3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91050" cy="3060700"/>
                    </a:xfrm>
                    <a:prstGeom prst="rect">
                      <a:avLst/>
                    </a:prstGeom>
                    <a:noFill/>
                    <a:ln>
                      <a:noFill/>
                    </a:ln>
                  </pic:spPr>
                </pic:pic>
              </a:graphicData>
            </a:graphic>
          </wp:inline>
        </w:drawing>
      </w:r>
      <w:r>
        <w:rPr>
          <w:rFonts w:ascii="Arial" w:hAnsi="Arial" w:cs="Arial"/>
        </w:rPr>
        <w:br/>
      </w:r>
      <w:r w:rsidRPr="00525F56">
        <w:rPr>
          <w:rFonts w:ascii="Arial" w:hAnsi="Arial" w:cs="Arial"/>
          <w:sz w:val="20"/>
          <w:szCs w:val="20"/>
        </w:rPr>
        <w:t>Fuente: Elaboración Propia con base en datos del IMCO</w:t>
      </w:r>
      <w:r>
        <w:rPr>
          <w:rFonts w:ascii="Arial" w:hAnsi="Arial" w:cs="Arial"/>
        </w:rPr>
        <w:t>.</w:t>
      </w:r>
    </w:p>
    <w:p w14:paraId="04DDBE04" w14:textId="77777777" w:rsidR="00F61DD1" w:rsidRDefault="00F61DD1" w:rsidP="00D60720">
      <w:pPr>
        <w:spacing w:line="360" w:lineRule="auto"/>
        <w:jc w:val="both"/>
        <w:rPr>
          <w:rFonts w:ascii="Arial" w:hAnsi="Arial" w:cs="Arial"/>
        </w:rPr>
      </w:pPr>
    </w:p>
    <w:p w14:paraId="3C3D1A9C" w14:textId="692DE554" w:rsidR="009C4D4C" w:rsidRDefault="006B7BD1" w:rsidP="00D60720">
      <w:pPr>
        <w:spacing w:line="360" w:lineRule="auto"/>
        <w:jc w:val="both"/>
        <w:rPr>
          <w:rFonts w:ascii="Arial" w:hAnsi="Arial" w:cs="Arial"/>
        </w:rPr>
      </w:pPr>
      <w:r>
        <w:rPr>
          <w:rFonts w:ascii="Arial" w:hAnsi="Arial" w:cs="Arial"/>
        </w:rPr>
        <w:t>Entre las principales d</w:t>
      </w:r>
      <w:r w:rsidRPr="006B7BD1">
        <w:rPr>
          <w:rFonts w:ascii="Arial" w:hAnsi="Arial" w:cs="Arial"/>
        </w:rPr>
        <w:t>ebilidades</w:t>
      </w:r>
      <w:r>
        <w:rPr>
          <w:rFonts w:ascii="Arial" w:hAnsi="Arial" w:cs="Arial"/>
        </w:rPr>
        <w:t xml:space="preserve"> están las</w:t>
      </w:r>
      <w:r w:rsidRPr="006B7BD1">
        <w:rPr>
          <w:rFonts w:ascii="Arial" w:hAnsi="Arial" w:cs="Arial"/>
        </w:rPr>
        <w:t xml:space="preserve"> sociales y económicas como baja escolaridad, bajos ingresos laborales, exclusión social y altos niveles de pobreza que reducen capital humano competitivo</w:t>
      </w:r>
      <w:r>
        <w:rPr>
          <w:rFonts w:ascii="Arial" w:hAnsi="Arial" w:cs="Arial"/>
        </w:rPr>
        <w:t>, así como la n</w:t>
      </w:r>
      <w:r w:rsidRPr="006B7BD1">
        <w:rPr>
          <w:rFonts w:ascii="Arial" w:hAnsi="Arial" w:cs="Arial"/>
        </w:rPr>
        <w:t>ecesidad de fortalecer innovación y desarrollo tecnológico para mejorar la productividad y competitividad regional.</w:t>
      </w:r>
    </w:p>
    <w:p w14:paraId="20C3A6C0" w14:textId="77777777" w:rsidR="00D60720" w:rsidRDefault="00D60720" w:rsidP="00D60720">
      <w:pPr>
        <w:spacing w:line="360" w:lineRule="auto"/>
        <w:jc w:val="both"/>
        <w:rPr>
          <w:rFonts w:ascii="Arial" w:hAnsi="Arial" w:cs="Arial"/>
        </w:rPr>
      </w:pPr>
    </w:p>
    <w:p w14:paraId="68355F2F" w14:textId="46407C36" w:rsidR="00D03AEF" w:rsidRDefault="00F61DD1" w:rsidP="00D60720">
      <w:pPr>
        <w:spacing w:line="360" w:lineRule="auto"/>
        <w:ind w:firstLine="709"/>
        <w:jc w:val="both"/>
        <w:rPr>
          <w:rFonts w:ascii="Arial" w:hAnsi="Arial" w:cs="Arial"/>
          <w:b/>
          <w:bCs/>
        </w:rPr>
      </w:pPr>
      <w:r>
        <w:rPr>
          <w:rFonts w:ascii="Arial" w:hAnsi="Arial" w:cs="Arial"/>
          <w:b/>
          <w:bCs/>
        </w:rPr>
        <w:t xml:space="preserve">4.1. </w:t>
      </w:r>
      <w:r w:rsidR="00D03AEF" w:rsidRPr="00D03AEF">
        <w:rPr>
          <w:rFonts w:ascii="Arial" w:hAnsi="Arial" w:cs="Arial"/>
          <w:b/>
          <w:bCs/>
        </w:rPr>
        <w:t>Crecimiento en infraestructura pública</w:t>
      </w:r>
    </w:p>
    <w:p w14:paraId="5767EF42" w14:textId="77777777" w:rsidR="00F61DD1" w:rsidRDefault="00F61DD1" w:rsidP="00D60720">
      <w:pPr>
        <w:spacing w:line="360" w:lineRule="auto"/>
        <w:jc w:val="both"/>
        <w:rPr>
          <w:rFonts w:ascii="Arial" w:hAnsi="Arial" w:cs="Arial"/>
        </w:rPr>
      </w:pPr>
    </w:p>
    <w:p w14:paraId="34C5574E" w14:textId="32EA08FF" w:rsidR="00D03AEF" w:rsidRDefault="00D03AEF" w:rsidP="00D60720">
      <w:pPr>
        <w:spacing w:line="360" w:lineRule="auto"/>
        <w:jc w:val="both"/>
        <w:rPr>
          <w:rFonts w:ascii="Arial" w:hAnsi="Arial" w:cs="Arial"/>
        </w:rPr>
      </w:pPr>
      <w:r w:rsidRPr="00D03AEF">
        <w:rPr>
          <w:rFonts w:ascii="Arial" w:hAnsi="Arial" w:cs="Arial"/>
        </w:rPr>
        <w:t>Entre 2018 y 2021, las inversiones oscilaron entre 2,800 y 3,750 millones de pesos anuales.</w:t>
      </w:r>
      <w:r>
        <w:rPr>
          <w:rFonts w:ascii="Arial" w:hAnsi="Arial" w:cs="Arial"/>
        </w:rPr>
        <w:t xml:space="preserve"> </w:t>
      </w:r>
      <w:r w:rsidRPr="00D03AEF">
        <w:rPr>
          <w:rFonts w:ascii="Arial" w:hAnsi="Arial" w:cs="Arial"/>
        </w:rPr>
        <w:t xml:space="preserve">A partir de 2022 inició un aumento significativo: ese año se destinaron más de 4,300 millones y en 2023 casi 6,000 millones de pesos a proyectos de infraestructura, como carreteras, teleféricos, distribuidores viales y mercados </w:t>
      </w:r>
      <w:r>
        <w:rPr>
          <w:rFonts w:ascii="Arial" w:hAnsi="Arial" w:cs="Arial"/>
        </w:rPr>
        <w:t xml:space="preserve">municipales. </w:t>
      </w:r>
      <w:r w:rsidRPr="00D03AEF">
        <w:rPr>
          <w:rFonts w:ascii="Arial" w:hAnsi="Arial" w:cs="Arial"/>
        </w:rPr>
        <w:t>En 2024 se alcanzó un máximo histórico de inversión, superando los 8,500 millones de pesos en obras clave a lo largo del estado.</w:t>
      </w:r>
      <w:r>
        <w:rPr>
          <w:rFonts w:ascii="Arial" w:hAnsi="Arial" w:cs="Arial"/>
        </w:rPr>
        <w:t xml:space="preserve"> </w:t>
      </w:r>
    </w:p>
    <w:p w14:paraId="43692CF9" w14:textId="77777777" w:rsidR="00D60720" w:rsidRPr="00D03AEF" w:rsidRDefault="00D60720" w:rsidP="00D60720">
      <w:pPr>
        <w:spacing w:line="360" w:lineRule="auto"/>
        <w:jc w:val="both"/>
        <w:rPr>
          <w:rFonts w:ascii="Arial" w:hAnsi="Arial" w:cs="Arial"/>
        </w:rPr>
      </w:pPr>
    </w:p>
    <w:p w14:paraId="630659AA" w14:textId="7D6A3698" w:rsidR="006B7BD1" w:rsidRDefault="00D03AEF" w:rsidP="00D60720">
      <w:pPr>
        <w:pStyle w:val="NormalWeb"/>
        <w:spacing w:before="0" w:beforeAutospacing="0" w:after="0" w:afterAutospacing="0" w:line="360" w:lineRule="auto"/>
        <w:jc w:val="both"/>
        <w:rPr>
          <w:rFonts w:ascii="Arial" w:hAnsi="Arial" w:cs="Arial"/>
        </w:rPr>
      </w:pPr>
      <w:r>
        <w:rPr>
          <w:rFonts w:ascii="Arial" w:hAnsi="Arial" w:cs="Arial"/>
        </w:rPr>
        <w:t>Este crecimiento sostenido en inversión por parte del</w:t>
      </w:r>
      <w:r w:rsidR="006B7BD1" w:rsidRPr="00987794">
        <w:rPr>
          <w:rFonts w:ascii="Arial" w:hAnsi="Arial" w:cs="Arial"/>
        </w:rPr>
        <w:t xml:space="preserve"> Gobierno del </w:t>
      </w:r>
      <w:r w:rsidR="00975A43" w:rsidRPr="00987794">
        <w:rPr>
          <w:rFonts w:ascii="Arial" w:hAnsi="Arial" w:cs="Arial"/>
        </w:rPr>
        <w:t>Estado</w:t>
      </w:r>
      <w:r w:rsidR="006B7BD1" w:rsidRPr="00987794">
        <w:rPr>
          <w:rFonts w:ascii="Arial" w:hAnsi="Arial" w:cs="Arial"/>
        </w:rPr>
        <w:t xml:space="preserve"> estableció que para 2025 se entregará </w:t>
      </w:r>
      <w:r w:rsidR="006B7BD1" w:rsidRPr="00987794">
        <w:rPr>
          <w:rStyle w:val="Textoennegrita"/>
          <w:rFonts w:ascii="Arial" w:hAnsi="Arial" w:cs="Arial"/>
          <w:b w:val="0"/>
          <w:bCs w:val="0"/>
        </w:rPr>
        <w:t>un volumen acumulado de obras de infraestructura superiores a $20 mil millones de pesos</w:t>
      </w:r>
      <w:r w:rsidR="006B7BD1" w:rsidRPr="00987794">
        <w:rPr>
          <w:rFonts w:ascii="Arial" w:hAnsi="Arial" w:cs="Arial"/>
        </w:rPr>
        <w:t xml:space="preserve"> desde el inicio de la administración, lo cual da una medida del tamaño de la ejecución física de inversión pública estatal</w:t>
      </w:r>
      <w:r w:rsidR="006B7BD1">
        <w:rPr>
          <w:rFonts w:ascii="Arial" w:hAnsi="Arial" w:cs="Arial"/>
        </w:rPr>
        <w:t xml:space="preserve">. Esto </w:t>
      </w:r>
      <w:r w:rsidR="006B7BD1" w:rsidRPr="006B7BD1">
        <w:rPr>
          <w:rFonts w:ascii="Arial" w:hAnsi="Arial" w:cs="Arial"/>
        </w:rPr>
        <w:t xml:space="preserve">da una señal de que la entidad está movilizando recursos de inversión, </w:t>
      </w:r>
      <w:r>
        <w:rPr>
          <w:rFonts w:ascii="Arial" w:hAnsi="Arial" w:cs="Arial"/>
        </w:rPr>
        <w:t>aspecto</w:t>
      </w:r>
      <w:r w:rsidR="006B7BD1" w:rsidRPr="006B7BD1">
        <w:rPr>
          <w:rFonts w:ascii="Arial" w:hAnsi="Arial" w:cs="Arial"/>
        </w:rPr>
        <w:t xml:space="preserve"> clave para mejorar infraestructura, competitividad y atraer inversión.</w:t>
      </w:r>
      <w:r w:rsidR="006B7BD1" w:rsidRPr="00987794">
        <w:rPr>
          <w:rFonts w:ascii="Arial" w:hAnsi="Arial" w:cs="Arial"/>
        </w:rPr>
        <w:t xml:space="preserve"> </w:t>
      </w:r>
    </w:p>
    <w:p w14:paraId="34EF24BA" w14:textId="77777777" w:rsidR="00D60720" w:rsidRDefault="00D60720" w:rsidP="00D60720">
      <w:pPr>
        <w:pStyle w:val="NormalWeb"/>
        <w:spacing w:before="0" w:beforeAutospacing="0" w:after="0" w:afterAutospacing="0" w:line="360" w:lineRule="auto"/>
        <w:jc w:val="both"/>
        <w:rPr>
          <w:rFonts w:ascii="Arial" w:hAnsi="Arial" w:cs="Arial"/>
        </w:rPr>
      </w:pPr>
    </w:p>
    <w:p w14:paraId="5560B176" w14:textId="77777777" w:rsidR="00D60720" w:rsidRDefault="00D60720" w:rsidP="00D60720">
      <w:pPr>
        <w:pStyle w:val="NormalWeb"/>
        <w:spacing w:before="0" w:beforeAutospacing="0" w:after="0" w:afterAutospacing="0" w:line="360" w:lineRule="auto"/>
        <w:jc w:val="both"/>
        <w:rPr>
          <w:rFonts w:ascii="Arial" w:hAnsi="Arial" w:cs="Arial"/>
        </w:rPr>
      </w:pPr>
    </w:p>
    <w:p w14:paraId="016CBBB1" w14:textId="77777777" w:rsidR="00D60720" w:rsidRDefault="00D60720" w:rsidP="00D60720">
      <w:pPr>
        <w:pStyle w:val="NormalWeb"/>
        <w:spacing w:before="0" w:beforeAutospacing="0" w:after="0" w:afterAutospacing="0" w:line="360" w:lineRule="auto"/>
        <w:jc w:val="both"/>
        <w:rPr>
          <w:rFonts w:ascii="Arial" w:hAnsi="Arial" w:cs="Arial"/>
        </w:rPr>
      </w:pPr>
    </w:p>
    <w:p w14:paraId="6BB4AF92" w14:textId="77777777" w:rsidR="00FC2D3D" w:rsidRDefault="00FC2D3D" w:rsidP="00D60720">
      <w:pPr>
        <w:pStyle w:val="NormalWeb"/>
        <w:spacing w:before="0" w:beforeAutospacing="0" w:after="0" w:afterAutospacing="0" w:line="360" w:lineRule="auto"/>
        <w:jc w:val="both"/>
        <w:rPr>
          <w:rFonts w:ascii="Arial" w:hAnsi="Arial" w:cs="Arial"/>
        </w:rPr>
      </w:pPr>
    </w:p>
    <w:p w14:paraId="0DC06376" w14:textId="77777777" w:rsidR="00FC2D3D" w:rsidRDefault="00FC2D3D" w:rsidP="00D60720">
      <w:pPr>
        <w:pStyle w:val="NormalWeb"/>
        <w:spacing w:before="0" w:beforeAutospacing="0" w:after="0" w:afterAutospacing="0" w:line="360" w:lineRule="auto"/>
        <w:jc w:val="both"/>
        <w:rPr>
          <w:rFonts w:ascii="Arial" w:hAnsi="Arial" w:cs="Arial"/>
        </w:rPr>
      </w:pPr>
    </w:p>
    <w:p w14:paraId="28B45D3E" w14:textId="77777777" w:rsidR="00FC2D3D" w:rsidRDefault="00FC2D3D" w:rsidP="00D60720">
      <w:pPr>
        <w:pStyle w:val="NormalWeb"/>
        <w:spacing w:before="0" w:beforeAutospacing="0" w:after="0" w:afterAutospacing="0" w:line="360" w:lineRule="auto"/>
        <w:jc w:val="both"/>
        <w:rPr>
          <w:rFonts w:ascii="Arial" w:hAnsi="Arial" w:cs="Arial"/>
        </w:rPr>
      </w:pPr>
    </w:p>
    <w:p w14:paraId="2A69CFEB" w14:textId="77777777" w:rsidR="00FC2D3D" w:rsidRDefault="00FC2D3D" w:rsidP="00D60720">
      <w:pPr>
        <w:pStyle w:val="NormalWeb"/>
        <w:spacing w:before="0" w:beforeAutospacing="0" w:after="0" w:afterAutospacing="0" w:line="360" w:lineRule="auto"/>
        <w:jc w:val="both"/>
        <w:rPr>
          <w:rFonts w:ascii="Arial" w:hAnsi="Arial" w:cs="Arial"/>
        </w:rPr>
      </w:pPr>
    </w:p>
    <w:p w14:paraId="385A2D48" w14:textId="77777777" w:rsidR="00FC2D3D" w:rsidRDefault="00FC2D3D" w:rsidP="00D60720">
      <w:pPr>
        <w:pStyle w:val="NormalWeb"/>
        <w:spacing w:before="0" w:beforeAutospacing="0" w:after="0" w:afterAutospacing="0" w:line="360" w:lineRule="auto"/>
        <w:jc w:val="both"/>
        <w:rPr>
          <w:rFonts w:ascii="Arial" w:hAnsi="Arial" w:cs="Arial"/>
        </w:rPr>
      </w:pPr>
    </w:p>
    <w:p w14:paraId="768804DC" w14:textId="77777777" w:rsidR="00FC2D3D" w:rsidRDefault="00FC2D3D" w:rsidP="00D60720">
      <w:pPr>
        <w:pStyle w:val="NormalWeb"/>
        <w:spacing w:before="0" w:beforeAutospacing="0" w:after="0" w:afterAutospacing="0" w:line="360" w:lineRule="auto"/>
        <w:jc w:val="both"/>
        <w:rPr>
          <w:rFonts w:ascii="Arial" w:hAnsi="Arial" w:cs="Arial"/>
        </w:rPr>
      </w:pPr>
    </w:p>
    <w:p w14:paraId="6E41162D" w14:textId="51FCA1A6" w:rsidR="006A6788" w:rsidRPr="006A6788" w:rsidRDefault="006A6788" w:rsidP="00D60720">
      <w:pPr>
        <w:pStyle w:val="NormalWeb"/>
        <w:spacing w:before="0" w:beforeAutospacing="0" w:after="0" w:afterAutospacing="0" w:line="360" w:lineRule="auto"/>
        <w:jc w:val="center"/>
        <w:rPr>
          <w:rFonts w:ascii="Arial" w:hAnsi="Arial" w:cs="Arial"/>
          <w:b/>
          <w:bCs/>
        </w:rPr>
      </w:pPr>
      <w:r w:rsidRPr="006A6788">
        <w:rPr>
          <w:rFonts w:ascii="Arial" w:hAnsi="Arial" w:cs="Arial"/>
          <w:b/>
          <w:bCs/>
        </w:rPr>
        <w:t>Evolución de la inversión anual en infraestructura pública</w:t>
      </w:r>
    </w:p>
    <w:p w14:paraId="2EBE17CB" w14:textId="4484E2AF" w:rsidR="005E5AD2" w:rsidRDefault="005E5AD2" w:rsidP="00D60720">
      <w:pPr>
        <w:pStyle w:val="NormalWeb"/>
        <w:spacing w:before="0" w:beforeAutospacing="0" w:after="0" w:afterAutospacing="0" w:line="360" w:lineRule="auto"/>
        <w:jc w:val="both"/>
        <w:rPr>
          <w:rFonts w:ascii="Arial" w:hAnsi="Arial" w:cs="Arial"/>
          <w:sz w:val="20"/>
          <w:szCs w:val="20"/>
        </w:rPr>
      </w:pPr>
      <w:r>
        <w:rPr>
          <w:noProof/>
        </w:rPr>
        <w:drawing>
          <wp:inline distT="0" distB="0" distL="0" distR="0" wp14:anchorId="3C1CD338" wp14:editId="7E28E1D6">
            <wp:extent cx="4798771" cy="3199181"/>
            <wp:effectExtent l="0" t="0" r="1905" b="1270"/>
            <wp:docPr id="209370180" name="Imagen 2" descr="Evolución de la inversión anual en infraestructura pública en Michoacán, 2018-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volución de la inversión anual en infraestructura pública en Michoacán, 2018-20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01903" cy="3201269"/>
                    </a:xfrm>
                    <a:prstGeom prst="rect">
                      <a:avLst/>
                    </a:prstGeom>
                    <a:noFill/>
                    <a:ln>
                      <a:noFill/>
                    </a:ln>
                  </pic:spPr>
                </pic:pic>
              </a:graphicData>
            </a:graphic>
          </wp:inline>
        </w:drawing>
      </w:r>
      <w:r>
        <w:rPr>
          <w:rFonts w:ascii="Arial" w:hAnsi="Arial" w:cs="Arial"/>
        </w:rPr>
        <w:br/>
      </w:r>
      <w:r>
        <w:rPr>
          <w:rFonts w:ascii="Arial" w:hAnsi="Arial" w:cs="Arial"/>
          <w:sz w:val="20"/>
          <w:szCs w:val="20"/>
        </w:rPr>
        <w:t xml:space="preserve">Fuente: Elaboración propia, </w:t>
      </w:r>
      <w:r w:rsidRPr="005E5AD2">
        <w:rPr>
          <w:rFonts w:ascii="Arial" w:hAnsi="Arial" w:cs="Arial"/>
          <w:sz w:val="20"/>
          <w:szCs w:val="20"/>
        </w:rPr>
        <w:t>Evolución de la inversión anual en infraestructura pública en Michoacán, 2018-2024</w:t>
      </w:r>
      <w:r w:rsidR="00FC2D3D">
        <w:rPr>
          <w:rFonts w:ascii="Arial" w:hAnsi="Arial" w:cs="Arial"/>
          <w:sz w:val="20"/>
          <w:szCs w:val="20"/>
        </w:rPr>
        <w:t>.</w:t>
      </w:r>
    </w:p>
    <w:p w14:paraId="5B2F66BA" w14:textId="77777777" w:rsidR="00FC2D3D" w:rsidRPr="005E5AD2" w:rsidRDefault="00FC2D3D" w:rsidP="00D60720">
      <w:pPr>
        <w:pStyle w:val="NormalWeb"/>
        <w:spacing w:before="0" w:beforeAutospacing="0" w:after="0" w:afterAutospacing="0" w:line="360" w:lineRule="auto"/>
        <w:jc w:val="both"/>
        <w:rPr>
          <w:rFonts w:ascii="Arial" w:hAnsi="Arial" w:cs="Arial"/>
          <w:sz w:val="20"/>
          <w:szCs w:val="20"/>
        </w:rPr>
      </w:pPr>
    </w:p>
    <w:p w14:paraId="3E092A64" w14:textId="1139C2BD" w:rsidR="00975A43" w:rsidRDefault="00975A43" w:rsidP="00D60720">
      <w:pPr>
        <w:spacing w:line="360" w:lineRule="auto"/>
        <w:ind w:firstLine="851"/>
        <w:jc w:val="both"/>
        <w:rPr>
          <w:rFonts w:ascii="Arial" w:hAnsi="Arial" w:cs="Arial"/>
          <w:b/>
          <w:bCs/>
        </w:rPr>
      </w:pPr>
      <w:r w:rsidRPr="00975A43">
        <w:rPr>
          <w:rFonts w:ascii="Arial" w:hAnsi="Arial" w:cs="Arial"/>
          <w:b/>
          <w:bCs/>
        </w:rPr>
        <w:t xml:space="preserve">4.2. </w:t>
      </w:r>
      <w:r>
        <w:rPr>
          <w:rFonts w:ascii="Arial" w:hAnsi="Arial" w:cs="Arial"/>
          <w:b/>
          <w:bCs/>
        </w:rPr>
        <w:t xml:space="preserve">Puerto de </w:t>
      </w:r>
      <w:r w:rsidRPr="00975A43">
        <w:rPr>
          <w:rFonts w:ascii="Arial" w:hAnsi="Arial" w:cs="Arial"/>
          <w:b/>
          <w:bCs/>
        </w:rPr>
        <w:t>Lázaro Cárdenas, centro logístico</w:t>
      </w:r>
    </w:p>
    <w:p w14:paraId="781D3422" w14:textId="77777777" w:rsidR="00975A43" w:rsidRPr="00975A43" w:rsidRDefault="00975A43" w:rsidP="00D60720">
      <w:pPr>
        <w:spacing w:line="360" w:lineRule="auto"/>
        <w:ind w:firstLine="851"/>
        <w:jc w:val="both"/>
        <w:rPr>
          <w:rFonts w:ascii="Arial" w:hAnsi="Arial" w:cs="Arial"/>
          <w:b/>
          <w:bCs/>
        </w:rPr>
      </w:pPr>
    </w:p>
    <w:p w14:paraId="4013D769" w14:textId="1A3D5596" w:rsidR="0027018C" w:rsidRDefault="005E5AD2" w:rsidP="00D60720">
      <w:pPr>
        <w:spacing w:line="360" w:lineRule="auto"/>
        <w:jc w:val="both"/>
        <w:rPr>
          <w:rFonts w:ascii="Arial" w:hAnsi="Arial" w:cs="Arial"/>
        </w:rPr>
      </w:pPr>
      <w:r>
        <w:rPr>
          <w:rFonts w:ascii="Arial" w:hAnsi="Arial" w:cs="Arial"/>
        </w:rPr>
        <w:t xml:space="preserve">Por otro lado, </w:t>
      </w:r>
      <w:r w:rsidR="0027018C" w:rsidRPr="0027018C">
        <w:rPr>
          <w:rFonts w:ascii="Arial" w:hAnsi="Arial" w:cs="Arial"/>
        </w:rPr>
        <w:t>Michoacán se posiciona como un actor estratégico dentro del proceso de relocalización industrial, por su ubicación geográfica privilegiada, su infraestructura portuaria y su vocación productiva.</w:t>
      </w:r>
    </w:p>
    <w:p w14:paraId="73B7A8AB" w14:textId="77777777" w:rsidR="00975A43" w:rsidRPr="0027018C" w:rsidRDefault="00975A43" w:rsidP="00D60720">
      <w:pPr>
        <w:spacing w:line="360" w:lineRule="auto"/>
        <w:jc w:val="both"/>
        <w:rPr>
          <w:rFonts w:ascii="Arial" w:hAnsi="Arial" w:cs="Arial"/>
        </w:rPr>
      </w:pPr>
    </w:p>
    <w:p w14:paraId="543BB7F3" w14:textId="77777777" w:rsidR="0027018C" w:rsidRDefault="0027018C" w:rsidP="00D60720">
      <w:pPr>
        <w:spacing w:line="360" w:lineRule="auto"/>
        <w:jc w:val="both"/>
        <w:rPr>
          <w:rFonts w:ascii="Arial" w:hAnsi="Arial" w:cs="Arial"/>
        </w:rPr>
      </w:pPr>
      <w:r w:rsidRPr="0027018C">
        <w:rPr>
          <w:rFonts w:ascii="Arial" w:hAnsi="Arial" w:cs="Arial"/>
        </w:rPr>
        <w:t>El Puerto de Lázaro Cárdenas, uno de los más importantes del Pacífico mexicano, moviliza más de 30 millones de toneladas anuales, conectando la producción nacional con los mercados asiáticos y norteamericanos.</w:t>
      </w:r>
    </w:p>
    <w:p w14:paraId="298C8CDE" w14:textId="77777777" w:rsidR="00975A43" w:rsidRPr="0027018C" w:rsidRDefault="00975A43" w:rsidP="00D60720">
      <w:pPr>
        <w:spacing w:line="360" w:lineRule="auto"/>
        <w:jc w:val="both"/>
        <w:rPr>
          <w:rFonts w:ascii="Arial" w:hAnsi="Arial" w:cs="Arial"/>
        </w:rPr>
      </w:pPr>
    </w:p>
    <w:p w14:paraId="0009B362" w14:textId="4DF86B08" w:rsidR="0027018C" w:rsidRDefault="0027018C" w:rsidP="00D60720">
      <w:pPr>
        <w:spacing w:line="360" w:lineRule="auto"/>
        <w:jc w:val="both"/>
        <w:rPr>
          <w:rFonts w:ascii="Arial" w:hAnsi="Arial" w:cs="Arial"/>
        </w:rPr>
      </w:pPr>
      <w:r w:rsidRPr="0027018C">
        <w:rPr>
          <w:rFonts w:ascii="Arial" w:hAnsi="Arial" w:cs="Arial"/>
        </w:rPr>
        <w:t>La entidad concentra importantes cadenas productivas en agroindustria, acero, autopartes, energía y logística marítima, lo que la convierte en un punto de enlace natural para la inversión derivada del nearshoring.</w:t>
      </w:r>
      <w:r>
        <w:rPr>
          <w:rFonts w:ascii="Arial" w:hAnsi="Arial" w:cs="Arial"/>
        </w:rPr>
        <w:t xml:space="preserve"> </w:t>
      </w:r>
      <w:r w:rsidRPr="0027018C">
        <w:rPr>
          <w:rFonts w:ascii="Arial" w:hAnsi="Arial" w:cs="Arial"/>
        </w:rPr>
        <w:t>La política económica estatal ha priorizado proyectos de infraestructura que fortalecen esta vocación, como:</w:t>
      </w:r>
    </w:p>
    <w:p w14:paraId="7AE06F24" w14:textId="77777777" w:rsidR="00975A43" w:rsidRPr="0027018C" w:rsidRDefault="00975A43" w:rsidP="00D60720">
      <w:pPr>
        <w:spacing w:line="360" w:lineRule="auto"/>
        <w:jc w:val="both"/>
        <w:rPr>
          <w:rFonts w:ascii="Arial" w:hAnsi="Arial" w:cs="Arial"/>
        </w:rPr>
      </w:pPr>
    </w:p>
    <w:p w14:paraId="43062C9A" w14:textId="43C2173A" w:rsidR="0027018C" w:rsidRPr="0027018C" w:rsidRDefault="0027018C" w:rsidP="00D60720">
      <w:pPr>
        <w:pStyle w:val="Prrafodelista"/>
        <w:numPr>
          <w:ilvl w:val="0"/>
          <w:numId w:val="28"/>
        </w:numPr>
        <w:spacing w:line="360" w:lineRule="auto"/>
        <w:jc w:val="both"/>
        <w:rPr>
          <w:rFonts w:ascii="Arial" w:hAnsi="Arial" w:cs="Arial"/>
        </w:rPr>
      </w:pPr>
      <w:r w:rsidRPr="0027018C">
        <w:rPr>
          <w:rFonts w:ascii="Arial" w:hAnsi="Arial" w:cs="Arial"/>
        </w:rPr>
        <w:t>La modernización del Eje Carretero Lázaro Cárdenas</w:t>
      </w:r>
      <w:r>
        <w:rPr>
          <w:rFonts w:ascii="Arial" w:hAnsi="Arial" w:cs="Arial"/>
        </w:rPr>
        <w:t>-Uruapan</w:t>
      </w:r>
      <w:r w:rsidRPr="0027018C">
        <w:rPr>
          <w:rFonts w:ascii="Arial" w:hAnsi="Arial" w:cs="Arial"/>
        </w:rPr>
        <w:t>–Morelia–Querétaro.</w:t>
      </w:r>
    </w:p>
    <w:p w14:paraId="4F312856" w14:textId="77777777" w:rsidR="0027018C" w:rsidRPr="0027018C" w:rsidRDefault="0027018C" w:rsidP="00D60720">
      <w:pPr>
        <w:pStyle w:val="Prrafodelista"/>
        <w:numPr>
          <w:ilvl w:val="0"/>
          <w:numId w:val="28"/>
        </w:numPr>
        <w:spacing w:line="360" w:lineRule="auto"/>
        <w:jc w:val="both"/>
        <w:rPr>
          <w:rFonts w:ascii="Arial" w:hAnsi="Arial" w:cs="Arial"/>
        </w:rPr>
      </w:pPr>
      <w:r w:rsidRPr="0027018C">
        <w:rPr>
          <w:rFonts w:ascii="Arial" w:hAnsi="Arial" w:cs="Arial"/>
        </w:rPr>
        <w:t>La consolidación del Parque Industrial de Lázaro Cárdenas y Zona Económica Logística (ZEL).</w:t>
      </w:r>
    </w:p>
    <w:p w14:paraId="1889266C" w14:textId="7FC31086" w:rsidR="0027018C" w:rsidRDefault="0027018C" w:rsidP="00D60720">
      <w:pPr>
        <w:pStyle w:val="Prrafodelista"/>
        <w:numPr>
          <w:ilvl w:val="0"/>
          <w:numId w:val="28"/>
        </w:numPr>
        <w:spacing w:line="360" w:lineRule="auto"/>
        <w:jc w:val="both"/>
        <w:rPr>
          <w:rFonts w:ascii="Arial" w:hAnsi="Arial" w:cs="Arial"/>
        </w:rPr>
      </w:pPr>
      <w:r w:rsidRPr="0027018C">
        <w:rPr>
          <w:rFonts w:ascii="Arial" w:hAnsi="Arial" w:cs="Arial"/>
        </w:rPr>
        <w:t xml:space="preserve">La promoción de inversiones en almacenamiento, </w:t>
      </w:r>
      <w:r>
        <w:rPr>
          <w:rFonts w:ascii="Arial" w:hAnsi="Arial" w:cs="Arial"/>
        </w:rPr>
        <w:t xml:space="preserve">electromovilidad, </w:t>
      </w:r>
      <w:r w:rsidRPr="0027018C">
        <w:rPr>
          <w:rFonts w:ascii="Arial" w:hAnsi="Arial" w:cs="Arial"/>
        </w:rPr>
        <w:t>energías renovables y servicios multimodales.</w:t>
      </w:r>
    </w:p>
    <w:p w14:paraId="26D723F1" w14:textId="77777777" w:rsidR="00975A43" w:rsidRPr="0027018C" w:rsidRDefault="00975A43" w:rsidP="00D60720">
      <w:pPr>
        <w:pStyle w:val="Prrafodelista"/>
        <w:spacing w:line="360" w:lineRule="auto"/>
        <w:jc w:val="both"/>
        <w:rPr>
          <w:rFonts w:ascii="Arial" w:hAnsi="Arial" w:cs="Arial"/>
        </w:rPr>
      </w:pPr>
    </w:p>
    <w:p w14:paraId="64E4E901" w14:textId="1C091223" w:rsidR="001F446B" w:rsidRDefault="0027018C" w:rsidP="00D60720">
      <w:pPr>
        <w:spacing w:line="360" w:lineRule="auto"/>
        <w:jc w:val="both"/>
        <w:rPr>
          <w:rFonts w:ascii="Arial" w:hAnsi="Arial" w:cs="Arial"/>
        </w:rPr>
      </w:pPr>
      <w:r w:rsidRPr="0027018C">
        <w:rPr>
          <w:rFonts w:ascii="Arial" w:hAnsi="Arial" w:cs="Arial"/>
        </w:rPr>
        <w:t>Además, se han desarrollado programas de acompañamiento a la inversión, simplificación de trámites y digitalización de licencias, con lo cual se mejora el clima de negocios y la competitividad estatal.</w:t>
      </w:r>
    </w:p>
    <w:p w14:paraId="2F097E41" w14:textId="77777777" w:rsidR="00975A43" w:rsidRDefault="00975A43" w:rsidP="00D60720">
      <w:pPr>
        <w:spacing w:line="360" w:lineRule="auto"/>
        <w:jc w:val="both"/>
        <w:rPr>
          <w:rFonts w:ascii="Arial" w:hAnsi="Arial" w:cs="Arial"/>
        </w:rPr>
      </w:pPr>
    </w:p>
    <w:p w14:paraId="6B3E304D" w14:textId="77777777" w:rsidR="0027018C" w:rsidRDefault="0027018C" w:rsidP="00D60720">
      <w:pPr>
        <w:spacing w:line="360" w:lineRule="auto"/>
        <w:jc w:val="both"/>
        <w:rPr>
          <w:rFonts w:ascii="Arial" w:hAnsi="Arial" w:cs="Arial"/>
        </w:rPr>
      </w:pPr>
      <w:r w:rsidRPr="0027018C">
        <w:rPr>
          <w:rFonts w:ascii="Arial" w:hAnsi="Arial" w:cs="Arial"/>
        </w:rPr>
        <w:t>El fortalecimiento del entorno de inversión derivado del Plan México y del nearshoring tiene repercusiones directas en la planeación presupuestaria estatal:</w:t>
      </w:r>
    </w:p>
    <w:p w14:paraId="0CE56B06" w14:textId="77777777" w:rsidR="00D60720" w:rsidRPr="0027018C" w:rsidRDefault="00D60720" w:rsidP="00D60720">
      <w:pPr>
        <w:spacing w:line="360" w:lineRule="auto"/>
        <w:jc w:val="both"/>
        <w:rPr>
          <w:rFonts w:ascii="Arial" w:hAnsi="Arial" w:cs="Arial"/>
        </w:rPr>
      </w:pPr>
    </w:p>
    <w:p w14:paraId="4BCFDEE7" w14:textId="77777777" w:rsidR="0027018C" w:rsidRPr="0027018C" w:rsidRDefault="0027018C" w:rsidP="00D60720">
      <w:pPr>
        <w:pStyle w:val="Prrafodelista"/>
        <w:numPr>
          <w:ilvl w:val="0"/>
          <w:numId w:val="29"/>
        </w:numPr>
        <w:spacing w:line="360" w:lineRule="auto"/>
        <w:jc w:val="both"/>
        <w:rPr>
          <w:rFonts w:ascii="Arial" w:hAnsi="Arial" w:cs="Arial"/>
        </w:rPr>
      </w:pPr>
      <w:r w:rsidRPr="0027018C">
        <w:rPr>
          <w:rFonts w:ascii="Arial" w:hAnsi="Arial" w:cs="Arial"/>
        </w:rPr>
        <w:t>Aumento del empleo formal y del ingreso personal disponible, lo que amplía la base fiscal y fortalece los ingresos propios.</w:t>
      </w:r>
    </w:p>
    <w:p w14:paraId="00A7112C" w14:textId="77777777" w:rsidR="0027018C" w:rsidRPr="0027018C" w:rsidRDefault="0027018C" w:rsidP="00D60720">
      <w:pPr>
        <w:pStyle w:val="Prrafodelista"/>
        <w:numPr>
          <w:ilvl w:val="0"/>
          <w:numId w:val="29"/>
        </w:numPr>
        <w:spacing w:line="360" w:lineRule="auto"/>
        <w:jc w:val="both"/>
        <w:rPr>
          <w:rFonts w:ascii="Arial" w:hAnsi="Arial" w:cs="Arial"/>
        </w:rPr>
      </w:pPr>
      <w:r w:rsidRPr="0027018C">
        <w:rPr>
          <w:rFonts w:ascii="Arial" w:hAnsi="Arial" w:cs="Arial"/>
        </w:rPr>
        <w:t>Incremento de la recaudación del IVA y del ISR participable, reflejado en mayores transferencias federales.</w:t>
      </w:r>
    </w:p>
    <w:p w14:paraId="244A82E1" w14:textId="77777777" w:rsidR="0027018C" w:rsidRPr="0027018C" w:rsidRDefault="0027018C" w:rsidP="00D60720">
      <w:pPr>
        <w:pStyle w:val="Prrafodelista"/>
        <w:numPr>
          <w:ilvl w:val="0"/>
          <w:numId w:val="29"/>
        </w:numPr>
        <w:spacing w:line="360" w:lineRule="auto"/>
        <w:jc w:val="both"/>
        <w:rPr>
          <w:rFonts w:ascii="Arial" w:hAnsi="Arial" w:cs="Arial"/>
        </w:rPr>
      </w:pPr>
      <w:r w:rsidRPr="0027018C">
        <w:rPr>
          <w:rFonts w:ascii="Arial" w:hAnsi="Arial" w:cs="Arial"/>
        </w:rPr>
        <w:t>Demanda creciente de infraestructura estatal y servicios públicos, que exige una planeación multianual de inversión pública eficiente y sostenible.</w:t>
      </w:r>
    </w:p>
    <w:p w14:paraId="68592989" w14:textId="77777777" w:rsidR="005E5AD2" w:rsidRDefault="005E5AD2" w:rsidP="00D60720">
      <w:pPr>
        <w:spacing w:line="360" w:lineRule="auto"/>
        <w:jc w:val="both"/>
        <w:rPr>
          <w:rFonts w:ascii="Arial" w:hAnsi="Arial" w:cs="Arial"/>
          <w:b/>
          <w:bCs/>
        </w:rPr>
      </w:pPr>
    </w:p>
    <w:p w14:paraId="584773DC" w14:textId="77777777" w:rsidR="00D60720" w:rsidRDefault="00D60720" w:rsidP="00D60720">
      <w:pPr>
        <w:spacing w:line="360" w:lineRule="auto"/>
        <w:jc w:val="both"/>
        <w:rPr>
          <w:rFonts w:ascii="Arial" w:hAnsi="Arial" w:cs="Arial"/>
          <w:b/>
          <w:bCs/>
        </w:rPr>
      </w:pPr>
    </w:p>
    <w:p w14:paraId="38F929BE" w14:textId="77777777" w:rsidR="00FC2D3D" w:rsidRDefault="00FC2D3D" w:rsidP="00D60720">
      <w:pPr>
        <w:spacing w:line="360" w:lineRule="auto"/>
        <w:jc w:val="both"/>
        <w:rPr>
          <w:rFonts w:ascii="Arial" w:hAnsi="Arial" w:cs="Arial"/>
          <w:b/>
          <w:bCs/>
        </w:rPr>
      </w:pPr>
    </w:p>
    <w:p w14:paraId="49C33384" w14:textId="77777777" w:rsidR="00FC2D3D" w:rsidRDefault="00FC2D3D" w:rsidP="00D60720">
      <w:pPr>
        <w:spacing w:line="360" w:lineRule="auto"/>
        <w:jc w:val="both"/>
        <w:rPr>
          <w:rFonts w:ascii="Arial" w:hAnsi="Arial" w:cs="Arial"/>
          <w:b/>
          <w:bCs/>
        </w:rPr>
      </w:pPr>
    </w:p>
    <w:p w14:paraId="61EC67BB" w14:textId="2738E805" w:rsidR="0027018C" w:rsidRDefault="00975A43" w:rsidP="00D60720">
      <w:pPr>
        <w:spacing w:line="360" w:lineRule="auto"/>
        <w:ind w:firstLine="567"/>
        <w:jc w:val="both"/>
        <w:rPr>
          <w:rFonts w:ascii="Arial" w:hAnsi="Arial" w:cs="Arial"/>
          <w:b/>
          <w:bCs/>
        </w:rPr>
      </w:pPr>
      <w:r>
        <w:rPr>
          <w:rFonts w:ascii="Arial" w:hAnsi="Arial" w:cs="Arial"/>
          <w:b/>
          <w:bCs/>
        </w:rPr>
        <w:t xml:space="preserve">4.3. </w:t>
      </w:r>
      <w:r w:rsidR="0027018C" w:rsidRPr="0027018C">
        <w:rPr>
          <w:rFonts w:ascii="Arial" w:hAnsi="Arial" w:cs="Arial"/>
          <w:b/>
          <w:bCs/>
        </w:rPr>
        <w:t xml:space="preserve">Integración del Parque Industrial Bajío </w:t>
      </w:r>
    </w:p>
    <w:p w14:paraId="56DD4894" w14:textId="77777777" w:rsidR="00975A43" w:rsidRPr="0027018C" w:rsidRDefault="00975A43" w:rsidP="00D60720">
      <w:pPr>
        <w:spacing w:line="360" w:lineRule="auto"/>
        <w:ind w:firstLine="567"/>
        <w:jc w:val="both"/>
        <w:rPr>
          <w:rFonts w:ascii="Arial" w:hAnsi="Arial" w:cs="Arial"/>
          <w:b/>
          <w:bCs/>
        </w:rPr>
      </w:pPr>
    </w:p>
    <w:p w14:paraId="4554629A" w14:textId="77777777" w:rsidR="0027018C" w:rsidRDefault="0027018C" w:rsidP="00D60720">
      <w:pPr>
        <w:spacing w:line="360" w:lineRule="auto"/>
        <w:jc w:val="both"/>
        <w:rPr>
          <w:rFonts w:ascii="Arial" w:hAnsi="Arial" w:cs="Arial"/>
        </w:rPr>
      </w:pPr>
      <w:r w:rsidRPr="0027018C">
        <w:rPr>
          <w:rFonts w:ascii="Arial" w:hAnsi="Arial" w:cs="Arial"/>
        </w:rPr>
        <w:t>El parque industrial es pieza clave dentro del marco del Plan México 2024–2030, al estar identificado como uno de los polos de desarrollo estratégico para la atracción de inversión productiva y la creación de cadenas de valor regionales. En particular:</w:t>
      </w:r>
    </w:p>
    <w:p w14:paraId="75512D85" w14:textId="77777777" w:rsidR="00975A43" w:rsidRPr="0027018C" w:rsidRDefault="00975A43" w:rsidP="00D60720">
      <w:pPr>
        <w:spacing w:line="360" w:lineRule="auto"/>
        <w:jc w:val="both"/>
        <w:rPr>
          <w:rFonts w:ascii="Arial" w:hAnsi="Arial" w:cs="Arial"/>
        </w:rPr>
      </w:pPr>
    </w:p>
    <w:p w14:paraId="5157767A" w14:textId="544DE3A9" w:rsidR="0027018C" w:rsidRPr="0027018C" w:rsidRDefault="0027018C" w:rsidP="00D60720">
      <w:pPr>
        <w:numPr>
          <w:ilvl w:val="0"/>
          <w:numId w:val="30"/>
        </w:numPr>
        <w:spacing w:line="360" w:lineRule="auto"/>
        <w:jc w:val="both"/>
        <w:rPr>
          <w:rFonts w:ascii="Arial" w:hAnsi="Arial" w:cs="Arial"/>
        </w:rPr>
      </w:pPr>
      <w:r w:rsidRPr="0027018C">
        <w:rPr>
          <w:rFonts w:ascii="Arial" w:hAnsi="Arial" w:cs="Arial"/>
        </w:rPr>
        <w:t>El Parque Industrial Bajío, ubicado en el municipio de Zinapécuaro, Michoacán, cuenta con una superficie estimada de 342.08 hectáreas según ficha técnica del portal Proyectos México.</w:t>
      </w:r>
    </w:p>
    <w:p w14:paraId="2368F991" w14:textId="4B239A31" w:rsidR="0027018C" w:rsidRPr="0027018C" w:rsidRDefault="0027018C" w:rsidP="00D60720">
      <w:pPr>
        <w:numPr>
          <w:ilvl w:val="0"/>
          <w:numId w:val="30"/>
        </w:numPr>
        <w:spacing w:line="360" w:lineRule="auto"/>
        <w:jc w:val="both"/>
        <w:rPr>
          <w:rFonts w:ascii="Arial" w:hAnsi="Arial" w:cs="Arial"/>
        </w:rPr>
      </w:pPr>
      <w:r w:rsidRPr="0027018C">
        <w:rPr>
          <w:rFonts w:ascii="Arial" w:hAnsi="Arial" w:cs="Arial"/>
        </w:rPr>
        <w:t>Fue declarado “Polo de Desarrollo Económico para el Bienestar” en el marco de la estructura de polos del Plan México</w:t>
      </w:r>
    </w:p>
    <w:p w14:paraId="0D3B01F3" w14:textId="38AD5407" w:rsidR="0027018C" w:rsidRPr="0027018C" w:rsidRDefault="0027018C" w:rsidP="00D60720">
      <w:pPr>
        <w:numPr>
          <w:ilvl w:val="0"/>
          <w:numId w:val="30"/>
        </w:numPr>
        <w:spacing w:line="360" w:lineRule="auto"/>
        <w:jc w:val="both"/>
        <w:rPr>
          <w:rFonts w:ascii="Arial" w:hAnsi="Arial" w:cs="Arial"/>
        </w:rPr>
      </w:pPr>
      <w:r w:rsidRPr="0027018C">
        <w:rPr>
          <w:rFonts w:ascii="Arial" w:hAnsi="Arial" w:cs="Arial"/>
        </w:rPr>
        <w:t>Su vocación productiva prioriza sectores como agroindustria, autopartes, electrodomésticos, logística y maquinaria-equipo</w:t>
      </w:r>
    </w:p>
    <w:p w14:paraId="2BC68BB0" w14:textId="54E7D7E7" w:rsidR="0027018C" w:rsidRPr="0027018C" w:rsidRDefault="0027018C" w:rsidP="00D60720">
      <w:pPr>
        <w:numPr>
          <w:ilvl w:val="0"/>
          <w:numId w:val="30"/>
        </w:numPr>
        <w:spacing w:line="360" w:lineRule="auto"/>
        <w:jc w:val="both"/>
        <w:rPr>
          <w:rFonts w:ascii="Arial" w:hAnsi="Arial" w:cs="Arial"/>
        </w:rPr>
      </w:pPr>
      <w:r w:rsidRPr="0027018C">
        <w:rPr>
          <w:rFonts w:ascii="Arial" w:hAnsi="Arial" w:cs="Arial"/>
        </w:rPr>
        <w:t>La conectividad logística es destacada: autopista Guadalajara–Ciudad de México, ferrocarril al puerto de Lázaro Cárdenas, aeropuerto internacional de Morelia a corta distancia</w:t>
      </w:r>
    </w:p>
    <w:p w14:paraId="1F0EE749" w14:textId="63D22D56" w:rsidR="0027018C" w:rsidRDefault="0027018C" w:rsidP="00D60720">
      <w:pPr>
        <w:numPr>
          <w:ilvl w:val="0"/>
          <w:numId w:val="30"/>
        </w:numPr>
        <w:spacing w:line="360" w:lineRule="auto"/>
        <w:jc w:val="both"/>
        <w:rPr>
          <w:rFonts w:ascii="Arial" w:hAnsi="Arial" w:cs="Arial"/>
        </w:rPr>
      </w:pPr>
      <w:r w:rsidRPr="0027018C">
        <w:rPr>
          <w:rFonts w:ascii="Arial" w:hAnsi="Arial" w:cs="Arial"/>
        </w:rPr>
        <w:t xml:space="preserve">Se estima que generará más de 27 mil empleos hacia su primera década de operación. </w:t>
      </w:r>
    </w:p>
    <w:p w14:paraId="457A8A58" w14:textId="77777777" w:rsidR="00975A43" w:rsidRPr="00975A43" w:rsidRDefault="00975A43" w:rsidP="00D60720">
      <w:pPr>
        <w:spacing w:line="360" w:lineRule="auto"/>
        <w:jc w:val="both"/>
        <w:rPr>
          <w:rFonts w:ascii="Arial" w:hAnsi="Arial" w:cs="Arial"/>
        </w:rPr>
      </w:pPr>
    </w:p>
    <w:p w14:paraId="16CBD1D3" w14:textId="607D3D2F" w:rsidR="00DB1597" w:rsidRDefault="00DB1597" w:rsidP="00D60720">
      <w:pPr>
        <w:pStyle w:val="Prrafodelista"/>
        <w:numPr>
          <w:ilvl w:val="1"/>
          <w:numId w:val="38"/>
        </w:numPr>
        <w:spacing w:line="360" w:lineRule="auto"/>
        <w:jc w:val="both"/>
        <w:rPr>
          <w:rFonts w:ascii="Arial" w:hAnsi="Arial" w:cs="Arial"/>
          <w:b/>
          <w:bCs/>
        </w:rPr>
      </w:pPr>
      <w:r w:rsidRPr="00617EA4">
        <w:rPr>
          <w:rFonts w:ascii="Arial" w:hAnsi="Arial" w:cs="Arial"/>
          <w:b/>
          <w:bCs/>
        </w:rPr>
        <w:t>Plan Michoacán por la Paz y la Justicia</w:t>
      </w:r>
    </w:p>
    <w:p w14:paraId="66BF0326" w14:textId="77777777" w:rsidR="00D60720" w:rsidRPr="00617EA4" w:rsidRDefault="00D60720" w:rsidP="00D60720">
      <w:pPr>
        <w:pStyle w:val="Prrafodelista"/>
        <w:spacing w:line="360" w:lineRule="auto"/>
        <w:ind w:left="1080"/>
        <w:jc w:val="both"/>
        <w:rPr>
          <w:rFonts w:ascii="Arial" w:hAnsi="Arial" w:cs="Arial"/>
          <w:b/>
          <w:bCs/>
        </w:rPr>
      </w:pPr>
    </w:p>
    <w:p w14:paraId="48E8A365" w14:textId="1FD13B53" w:rsidR="00D60720" w:rsidRDefault="00DB1597" w:rsidP="00D60720">
      <w:pPr>
        <w:spacing w:line="360" w:lineRule="auto"/>
        <w:jc w:val="both"/>
        <w:rPr>
          <w:rFonts w:ascii="Arial" w:hAnsi="Arial" w:cs="Arial"/>
        </w:rPr>
      </w:pPr>
      <w:r w:rsidRPr="00DB1597">
        <w:rPr>
          <w:rFonts w:ascii="Arial" w:hAnsi="Arial" w:cs="Arial"/>
        </w:rPr>
        <w:t xml:space="preserve">El Gobierno de la República presentó el Plan Michoacán por la Paz y la Justicia, un esfuerzo integral diseñado para atender de fondo la situación de violencia, inseguridad y rezago en el estado. El plan fue anunciado el 9 de noviembre de 2025 por la </w:t>
      </w:r>
      <w:r>
        <w:rPr>
          <w:rFonts w:ascii="Arial" w:hAnsi="Arial" w:cs="Arial"/>
        </w:rPr>
        <w:t xml:space="preserve">titular del ejecutivo federal, en la que se estableció el monto de inversión y componentes clave del plan: </w:t>
      </w:r>
    </w:p>
    <w:p w14:paraId="38DDACA1" w14:textId="77777777" w:rsidR="00D60720" w:rsidRPr="00DB1597" w:rsidRDefault="00D60720" w:rsidP="00D60720">
      <w:pPr>
        <w:spacing w:line="360" w:lineRule="auto"/>
        <w:jc w:val="both"/>
        <w:rPr>
          <w:rFonts w:ascii="Arial" w:hAnsi="Arial" w:cs="Arial"/>
        </w:rPr>
      </w:pPr>
    </w:p>
    <w:p w14:paraId="46186130" w14:textId="37F59261" w:rsidR="00DB1597" w:rsidRPr="00DB1597" w:rsidRDefault="00DB1597" w:rsidP="00D60720">
      <w:pPr>
        <w:numPr>
          <w:ilvl w:val="0"/>
          <w:numId w:val="32"/>
        </w:numPr>
        <w:spacing w:line="360" w:lineRule="auto"/>
        <w:jc w:val="both"/>
        <w:rPr>
          <w:rFonts w:ascii="Arial" w:hAnsi="Arial" w:cs="Arial"/>
        </w:rPr>
      </w:pPr>
      <w:r w:rsidRPr="00DB1597">
        <w:rPr>
          <w:rFonts w:ascii="Arial" w:hAnsi="Arial" w:cs="Arial"/>
        </w:rPr>
        <w:t xml:space="preserve">Se estima una inversión </w:t>
      </w:r>
      <w:r w:rsidRPr="00DB1597">
        <w:rPr>
          <w:rFonts w:ascii="Arial" w:eastAsiaTheme="majorEastAsia" w:hAnsi="Arial" w:cs="Arial"/>
        </w:rPr>
        <w:t>superior a 57 mil millones de pesos</w:t>
      </w:r>
      <w:r w:rsidRPr="00DB1597">
        <w:rPr>
          <w:rFonts w:ascii="Arial" w:hAnsi="Arial" w:cs="Arial"/>
        </w:rPr>
        <w:t xml:space="preserve"> para el plan, la cual será aplicada en más de 100 acciones distribuidas en 12 ejes estratégicos</w:t>
      </w:r>
      <w:r w:rsidR="001D164A">
        <w:rPr>
          <w:rFonts w:ascii="Arial" w:hAnsi="Arial" w:cs="Arial"/>
        </w:rPr>
        <w:t>.</w:t>
      </w:r>
    </w:p>
    <w:p w14:paraId="55889D85" w14:textId="06312A70" w:rsidR="00DB1597" w:rsidRPr="00DB1597" w:rsidRDefault="00DB1597" w:rsidP="00D60720">
      <w:pPr>
        <w:numPr>
          <w:ilvl w:val="0"/>
          <w:numId w:val="32"/>
        </w:numPr>
        <w:spacing w:line="360" w:lineRule="auto"/>
        <w:jc w:val="both"/>
        <w:rPr>
          <w:rFonts w:ascii="Arial" w:hAnsi="Arial" w:cs="Arial"/>
        </w:rPr>
      </w:pPr>
      <w:r w:rsidRPr="00DB1597">
        <w:rPr>
          <w:rFonts w:ascii="Arial" w:hAnsi="Arial" w:cs="Arial"/>
        </w:rPr>
        <w:t xml:space="preserve">El estado de Michoacán participará con una aportación propia de alrededor de </w:t>
      </w:r>
      <w:r w:rsidR="001D164A">
        <w:rPr>
          <w:rFonts w:ascii="Arial" w:hAnsi="Arial" w:cs="Arial"/>
        </w:rPr>
        <w:t>$</w:t>
      </w:r>
      <w:r w:rsidRPr="00DB1597">
        <w:rPr>
          <w:rFonts w:ascii="Arial" w:eastAsiaTheme="majorEastAsia" w:hAnsi="Arial" w:cs="Arial"/>
        </w:rPr>
        <w:t>2</w:t>
      </w:r>
      <w:r w:rsidR="001D164A">
        <w:rPr>
          <w:rFonts w:ascii="Arial" w:hAnsi="Arial" w:cs="Arial"/>
        </w:rPr>
        <w:t>,</w:t>
      </w:r>
      <w:r w:rsidRPr="00DB1597">
        <w:rPr>
          <w:rFonts w:ascii="Arial" w:eastAsiaTheme="majorEastAsia" w:hAnsi="Arial" w:cs="Arial"/>
        </w:rPr>
        <w:t>700 millones de pesos</w:t>
      </w:r>
      <w:r w:rsidRPr="00DB1597">
        <w:rPr>
          <w:rFonts w:ascii="Arial" w:hAnsi="Arial" w:cs="Arial"/>
        </w:rPr>
        <w:t xml:space="preserve"> para complementar el plan federal. </w:t>
      </w:r>
    </w:p>
    <w:p w14:paraId="750FE29C" w14:textId="5635E06F" w:rsidR="00DB1597" w:rsidRDefault="00DB1597" w:rsidP="00D60720">
      <w:pPr>
        <w:numPr>
          <w:ilvl w:val="0"/>
          <w:numId w:val="32"/>
        </w:numPr>
        <w:spacing w:line="360" w:lineRule="auto"/>
        <w:jc w:val="both"/>
        <w:rPr>
          <w:rFonts w:ascii="Arial" w:hAnsi="Arial" w:cs="Arial"/>
        </w:rPr>
      </w:pPr>
      <w:r w:rsidRPr="00DB1597">
        <w:rPr>
          <w:rFonts w:ascii="Arial" w:hAnsi="Arial" w:cs="Arial"/>
        </w:rPr>
        <w:t>El plan contempla acciones en rubros como salud (7</w:t>
      </w:r>
      <w:r w:rsidR="001D164A">
        <w:rPr>
          <w:rFonts w:ascii="Arial" w:hAnsi="Arial" w:cs="Arial"/>
        </w:rPr>
        <w:t>,</w:t>
      </w:r>
      <w:r w:rsidRPr="00DB1597">
        <w:rPr>
          <w:rFonts w:ascii="Arial" w:hAnsi="Arial" w:cs="Arial"/>
        </w:rPr>
        <w:t>500 millones de pesos para hospitales), infraestructura hídrica (1</w:t>
      </w:r>
      <w:r w:rsidR="001D164A">
        <w:rPr>
          <w:rFonts w:ascii="Arial" w:hAnsi="Arial" w:cs="Arial"/>
        </w:rPr>
        <w:t>,</w:t>
      </w:r>
      <w:r w:rsidRPr="00DB1597">
        <w:rPr>
          <w:rFonts w:ascii="Arial" w:hAnsi="Arial" w:cs="Arial"/>
        </w:rPr>
        <w:t>630 millones de pesos para redes de agua) y carreteras (2</w:t>
      </w:r>
      <w:r w:rsidR="001D164A">
        <w:rPr>
          <w:rFonts w:ascii="Arial" w:hAnsi="Arial" w:cs="Arial"/>
        </w:rPr>
        <w:t>,</w:t>
      </w:r>
      <w:r w:rsidRPr="00DB1597">
        <w:rPr>
          <w:rFonts w:ascii="Arial" w:hAnsi="Arial" w:cs="Arial"/>
        </w:rPr>
        <w:t>128 millones de pesos para rehabilitación de tramos</w:t>
      </w:r>
      <w:r w:rsidR="001D164A">
        <w:rPr>
          <w:rFonts w:ascii="Arial" w:hAnsi="Arial" w:cs="Arial"/>
        </w:rPr>
        <w:t>).</w:t>
      </w:r>
      <w:r w:rsidR="001D164A" w:rsidRPr="00DB1597">
        <w:rPr>
          <w:rFonts w:ascii="Arial" w:hAnsi="Arial" w:cs="Arial"/>
        </w:rPr>
        <w:t xml:space="preserve"> </w:t>
      </w:r>
    </w:p>
    <w:p w14:paraId="2B346F49" w14:textId="77777777" w:rsidR="00D60720" w:rsidRPr="00DB1597" w:rsidRDefault="00D60720" w:rsidP="00D60720">
      <w:pPr>
        <w:spacing w:line="360" w:lineRule="auto"/>
        <w:ind w:left="720"/>
        <w:jc w:val="both"/>
        <w:rPr>
          <w:rFonts w:ascii="Arial" w:hAnsi="Arial" w:cs="Arial"/>
        </w:rPr>
      </w:pPr>
    </w:p>
    <w:p w14:paraId="1F98ADE2" w14:textId="77777777" w:rsidR="00DB1597" w:rsidRDefault="00DB1597" w:rsidP="00D60720">
      <w:pPr>
        <w:spacing w:line="360" w:lineRule="auto"/>
        <w:jc w:val="both"/>
        <w:rPr>
          <w:rFonts w:ascii="Arial" w:hAnsi="Arial" w:cs="Arial"/>
        </w:rPr>
      </w:pPr>
      <w:r w:rsidRPr="00DB1597">
        <w:rPr>
          <w:rFonts w:ascii="Arial" w:hAnsi="Arial" w:cs="Arial"/>
        </w:rPr>
        <w:t xml:space="preserve">Este plan representa una </w:t>
      </w:r>
      <w:r w:rsidRPr="00DB1597">
        <w:rPr>
          <w:rFonts w:ascii="Arial" w:eastAsiaTheme="majorEastAsia" w:hAnsi="Arial" w:cs="Arial"/>
        </w:rPr>
        <w:t>oportunidad estratégica para Michoacán</w:t>
      </w:r>
      <w:r w:rsidRPr="00DB1597">
        <w:rPr>
          <w:rFonts w:ascii="Arial" w:hAnsi="Arial" w:cs="Arial"/>
        </w:rPr>
        <w:t>, por varias razones:</w:t>
      </w:r>
    </w:p>
    <w:p w14:paraId="159E1259" w14:textId="77777777" w:rsidR="00D60720" w:rsidRPr="00DB1597" w:rsidRDefault="00D60720" w:rsidP="00D60720">
      <w:pPr>
        <w:spacing w:line="360" w:lineRule="auto"/>
        <w:jc w:val="both"/>
        <w:rPr>
          <w:rFonts w:ascii="Arial" w:hAnsi="Arial" w:cs="Arial"/>
        </w:rPr>
      </w:pPr>
    </w:p>
    <w:p w14:paraId="3F537092" w14:textId="77777777" w:rsidR="00DB1597" w:rsidRPr="00DB1597" w:rsidRDefault="00DB1597" w:rsidP="00D60720">
      <w:pPr>
        <w:numPr>
          <w:ilvl w:val="0"/>
          <w:numId w:val="33"/>
        </w:numPr>
        <w:spacing w:line="360" w:lineRule="auto"/>
        <w:jc w:val="both"/>
        <w:rPr>
          <w:rFonts w:ascii="Arial" w:hAnsi="Arial" w:cs="Arial"/>
        </w:rPr>
      </w:pPr>
      <w:r w:rsidRPr="00DB1597">
        <w:rPr>
          <w:rFonts w:ascii="Arial" w:eastAsiaTheme="majorEastAsia" w:hAnsi="Arial" w:cs="Arial"/>
        </w:rPr>
        <w:t>Mejora del clima de inversión</w:t>
      </w:r>
      <w:r w:rsidRPr="00DB1597">
        <w:rPr>
          <w:rFonts w:ascii="Arial" w:hAnsi="Arial" w:cs="Arial"/>
        </w:rPr>
        <w:t>: Al reducirse la inseguridad y fortalecerse el estado de derecho, se generan condiciones más favorables para la inversión productiva, tanto nacional como extranjera, y para el desarrollo de infraestructura logística y de movilidad.</w:t>
      </w:r>
    </w:p>
    <w:p w14:paraId="7F127716" w14:textId="77777777" w:rsidR="00DB1597" w:rsidRPr="00DB1597" w:rsidRDefault="00DB1597" w:rsidP="00D60720">
      <w:pPr>
        <w:numPr>
          <w:ilvl w:val="0"/>
          <w:numId w:val="33"/>
        </w:numPr>
        <w:spacing w:line="360" w:lineRule="auto"/>
        <w:jc w:val="both"/>
        <w:rPr>
          <w:rFonts w:ascii="Arial" w:hAnsi="Arial" w:cs="Arial"/>
        </w:rPr>
      </w:pPr>
      <w:r w:rsidRPr="00DB1597">
        <w:rPr>
          <w:rFonts w:ascii="Arial" w:eastAsiaTheme="majorEastAsia" w:hAnsi="Arial" w:cs="Arial"/>
        </w:rPr>
        <w:t>Incremento de gasto público con impacto territorial</w:t>
      </w:r>
      <w:r w:rsidRPr="00DB1597">
        <w:rPr>
          <w:rFonts w:ascii="Arial" w:hAnsi="Arial" w:cs="Arial"/>
        </w:rPr>
        <w:t>: La inversión anunciada permitirá activar proyectos de infraestructura, salud, agua y carreteras que tienen potencial de elevar la competitividad regional y mejorar la productividad del Estado.</w:t>
      </w:r>
    </w:p>
    <w:p w14:paraId="026F9656" w14:textId="77777777" w:rsidR="00DB1597" w:rsidRPr="00DB1597" w:rsidRDefault="00DB1597" w:rsidP="00D60720">
      <w:pPr>
        <w:numPr>
          <w:ilvl w:val="0"/>
          <w:numId w:val="33"/>
        </w:numPr>
        <w:spacing w:line="360" w:lineRule="auto"/>
        <w:jc w:val="both"/>
        <w:rPr>
          <w:rFonts w:ascii="Arial" w:hAnsi="Arial" w:cs="Arial"/>
        </w:rPr>
      </w:pPr>
      <w:r w:rsidRPr="00DB1597">
        <w:rPr>
          <w:rFonts w:ascii="Arial" w:eastAsiaTheme="majorEastAsia" w:hAnsi="Arial" w:cs="Arial"/>
        </w:rPr>
        <w:t>Alineación con el presupuesto estatal 2026</w:t>
      </w:r>
      <w:r w:rsidRPr="00DB1597">
        <w:rPr>
          <w:rFonts w:ascii="Arial" w:hAnsi="Arial" w:cs="Arial"/>
        </w:rPr>
        <w:t>: El monto y los ejes del plan pueden integrarse como parte del marco de inversión pública estatal programada en el ejercicio fiscal 2026, lo cual da mayor visibilidad, respaldo federal y certidumbre presupuestaria.</w:t>
      </w:r>
    </w:p>
    <w:p w14:paraId="0DE700CA" w14:textId="5C75EE40" w:rsidR="00DB1597" w:rsidRDefault="00DB1597" w:rsidP="00D60720">
      <w:pPr>
        <w:numPr>
          <w:ilvl w:val="0"/>
          <w:numId w:val="33"/>
        </w:numPr>
        <w:spacing w:line="360" w:lineRule="auto"/>
        <w:jc w:val="both"/>
        <w:rPr>
          <w:rFonts w:ascii="Arial" w:hAnsi="Arial" w:cs="Arial"/>
        </w:rPr>
      </w:pPr>
      <w:r w:rsidRPr="00DB1597">
        <w:rPr>
          <w:rFonts w:ascii="Arial" w:eastAsiaTheme="majorEastAsia" w:hAnsi="Arial" w:cs="Arial"/>
        </w:rPr>
        <w:t>Impulso al desarrollo social y bienestar</w:t>
      </w:r>
      <w:r w:rsidRPr="00DB1597">
        <w:rPr>
          <w:rFonts w:ascii="Arial" w:hAnsi="Arial" w:cs="Arial"/>
        </w:rPr>
        <w:t xml:space="preserve">: </w:t>
      </w:r>
      <w:r w:rsidR="001D164A">
        <w:rPr>
          <w:rFonts w:ascii="Arial" w:hAnsi="Arial" w:cs="Arial"/>
        </w:rPr>
        <w:t>la combinación</w:t>
      </w:r>
      <w:r w:rsidRPr="00DB1597">
        <w:rPr>
          <w:rFonts w:ascii="Arial" w:hAnsi="Arial" w:cs="Arial"/>
        </w:rPr>
        <w:t xml:space="preserve"> de seguridad con desarrollo (educación, salud, infraestructura), el plan aborda causas estructurales que inciden en la marginación económica, lo cual refuerza los objetivos del presupuesto estatal en materia de bienestar, equidad y crecimiento.</w:t>
      </w:r>
    </w:p>
    <w:p w14:paraId="120F45D5" w14:textId="77777777" w:rsidR="00617EA4" w:rsidRDefault="00617EA4" w:rsidP="00D60720">
      <w:pPr>
        <w:spacing w:line="360" w:lineRule="auto"/>
        <w:ind w:left="720"/>
        <w:jc w:val="both"/>
        <w:rPr>
          <w:rFonts w:ascii="Arial" w:hAnsi="Arial" w:cs="Arial"/>
        </w:rPr>
      </w:pPr>
    </w:p>
    <w:p w14:paraId="0ACE4118" w14:textId="37C7281E" w:rsidR="00617EA4" w:rsidRDefault="00617EA4" w:rsidP="00D60720">
      <w:pPr>
        <w:spacing w:line="360" w:lineRule="auto"/>
        <w:ind w:firstLine="567"/>
        <w:jc w:val="both"/>
        <w:rPr>
          <w:rFonts w:ascii="Arial" w:hAnsi="Arial" w:cs="Arial"/>
          <w:b/>
          <w:bCs/>
        </w:rPr>
      </w:pPr>
      <w:r>
        <w:rPr>
          <w:rFonts w:ascii="Arial" w:hAnsi="Arial" w:cs="Arial"/>
          <w:b/>
          <w:bCs/>
        </w:rPr>
        <w:t>4.5. Riesgos y Desafíos</w:t>
      </w:r>
    </w:p>
    <w:p w14:paraId="25A3EF45" w14:textId="77777777" w:rsidR="00617EA4" w:rsidRPr="0027018C" w:rsidRDefault="00617EA4" w:rsidP="00D60720">
      <w:pPr>
        <w:spacing w:line="360" w:lineRule="auto"/>
        <w:ind w:firstLine="567"/>
        <w:jc w:val="both"/>
        <w:rPr>
          <w:rFonts w:ascii="Arial" w:hAnsi="Arial" w:cs="Arial"/>
          <w:b/>
          <w:bCs/>
        </w:rPr>
      </w:pPr>
    </w:p>
    <w:p w14:paraId="0F48A344" w14:textId="4E3FDE86" w:rsidR="00617EA4" w:rsidRPr="00617EA4" w:rsidRDefault="00617EA4" w:rsidP="00D60720">
      <w:pPr>
        <w:pStyle w:val="Prrafodelista"/>
        <w:numPr>
          <w:ilvl w:val="0"/>
          <w:numId w:val="31"/>
        </w:numPr>
        <w:spacing w:line="360" w:lineRule="auto"/>
        <w:jc w:val="both"/>
        <w:rPr>
          <w:rFonts w:ascii="Arial" w:hAnsi="Arial" w:cs="Arial"/>
        </w:rPr>
      </w:pPr>
      <w:r w:rsidRPr="00E84C42">
        <w:rPr>
          <w:rFonts w:ascii="Arial" w:hAnsi="Arial" w:cs="Arial"/>
        </w:rPr>
        <w:t>A pesar de las condiciones favorables, el entorno de inversión en 2026 enfrenta retos estructurales que requieren atención coordinada entre los gobiernos federal y estatal</w:t>
      </w:r>
      <w:r>
        <w:rPr>
          <w:rFonts w:ascii="Arial" w:hAnsi="Arial" w:cs="Arial"/>
        </w:rPr>
        <w:t>.</w:t>
      </w:r>
    </w:p>
    <w:p w14:paraId="44B82C99" w14:textId="77777777" w:rsidR="00617EA4" w:rsidRPr="00DB1597" w:rsidRDefault="00617EA4" w:rsidP="00D60720">
      <w:pPr>
        <w:pStyle w:val="Prrafodelista"/>
        <w:numPr>
          <w:ilvl w:val="0"/>
          <w:numId w:val="31"/>
        </w:numPr>
        <w:spacing w:line="360" w:lineRule="auto"/>
        <w:jc w:val="both"/>
        <w:rPr>
          <w:rFonts w:ascii="Arial" w:hAnsi="Arial" w:cs="Arial"/>
        </w:rPr>
      </w:pPr>
      <w:r w:rsidRPr="00E84C42">
        <w:rPr>
          <w:rFonts w:ascii="Arial" w:hAnsi="Arial" w:cs="Arial"/>
        </w:rPr>
        <w:t>Infraestructura energética e industrial: La disponibilidad de energía eléctrica competitiva, agua y suelo industrial urbanizado será determinante para atraer nuevas plantas de manufactura y centros logísticos.</w:t>
      </w:r>
    </w:p>
    <w:p w14:paraId="6893C52E" w14:textId="77777777" w:rsidR="00617EA4" w:rsidRPr="00E84C42" w:rsidRDefault="00617EA4" w:rsidP="00D60720">
      <w:pPr>
        <w:pStyle w:val="Prrafodelista"/>
        <w:numPr>
          <w:ilvl w:val="0"/>
          <w:numId w:val="31"/>
        </w:numPr>
        <w:spacing w:line="360" w:lineRule="auto"/>
        <w:jc w:val="both"/>
        <w:rPr>
          <w:rFonts w:ascii="Arial" w:hAnsi="Arial" w:cs="Arial"/>
        </w:rPr>
      </w:pPr>
      <w:r w:rsidRPr="00E84C42">
        <w:rPr>
          <w:rFonts w:ascii="Arial" w:hAnsi="Arial" w:cs="Arial"/>
        </w:rPr>
        <w:t>Capacitación y capital humano: El fortalecimiento de la educación técnica y la vinculación con universidades locales permitirá absorber la demanda laboral de sectores de alta tecnología.</w:t>
      </w:r>
    </w:p>
    <w:p w14:paraId="237931D0" w14:textId="77777777" w:rsidR="00617EA4" w:rsidRDefault="00617EA4" w:rsidP="00D60720">
      <w:pPr>
        <w:pStyle w:val="Prrafodelista"/>
        <w:numPr>
          <w:ilvl w:val="0"/>
          <w:numId w:val="31"/>
        </w:numPr>
        <w:spacing w:line="360" w:lineRule="auto"/>
        <w:jc w:val="both"/>
        <w:rPr>
          <w:rFonts w:ascii="Arial" w:hAnsi="Arial" w:cs="Arial"/>
        </w:rPr>
      </w:pPr>
      <w:r w:rsidRPr="00E84C42">
        <w:rPr>
          <w:rFonts w:ascii="Arial" w:hAnsi="Arial" w:cs="Arial"/>
        </w:rPr>
        <w:t>Seguridad pública y certeza jurídica: La mejora continua de las condiciones de seguridad y la estabilidad regulatoria son esenciales para mantener la confianza de los inversionistas.</w:t>
      </w:r>
    </w:p>
    <w:p w14:paraId="029AE19F" w14:textId="51AE36CD" w:rsidR="00617EA4" w:rsidRPr="00617EA4" w:rsidRDefault="00617EA4" w:rsidP="00D60720">
      <w:pPr>
        <w:pStyle w:val="Prrafodelista"/>
        <w:numPr>
          <w:ilvl w:val="0"/>
          <w:numId w:val="31"/>
        </w:numPr>
        <w:spacing w:line="360" w:lineRule="auto"/>
        <w:jc w:val="both"/>
        <w:rPr>
          <w:rFonts w:ascii="Arial" w:hAnsi="Arial" w:cs="Arial"/>
        </w:rPr>
      </w:pPr>
      <w:r w:rsidRPr="00617EA4">
        <w:rPr>
          <w:rFonts w:ascii="Arial" w:hAnsi="Arial" w:cs="Arial"/>
        </w:rPr>
        <w:t>Coordinación institucional: La atracción y retención de inversiones exigen fortalecer la ventanilla única de inversión estatal, en coordinación con la Secretaría de Economía federal y las agencias de promoción internacional</w:t>
      </w:r>
    </w:p>
    <w:p w14:paraId="41FE20F2" w14:textId="77777777" w:rsidR="002D108E" w:rsidRDefault="002D108E" w:rsidP="00D60720">
      <w:pPr>
        <w:spacing w:line="360" w:lineRule="auto"/>
        <w:ind w:left="720"/>
        <w:jc w:val="both"/>
        <w:rPr>
          <w:rFonts w:ascii="Arial" w:hAnsi="Arial" w:cs="Arial"/>
        </w:rPr>
      </w:pPr>
    </w:p>
    <w:p w14:paraId="34653569" w14:textId="1223F12A" w:rsidR="002D108E" w:rsidRPr="00617EA4" w:rsidRDefault="002D108E" w:rsidP="00D60720">
      <w:pPr>
        <w:pStyle w:val="Prrafodelista"/>
        <w:numPr>
          <w:ilvl w:val="0"/>
          <w:numId w:val="33"/>
        </w:numPr>
        <w:spacing w:line="360" w:lineRule="auto"/>
        <w:jc w:val="both"/>
        <w:rPr>
          <w:rFonts w:ascii="Arial" w:hAnsi="Arial" w:cs="Arial"/>
          <w:b/>
          <w:bCs/>
          <w:u w:val="single"/>
        </w:rPr>
      </w:pPr>
      <w:r w:rsidRPr="00617EA4">
        <w:rPr>
          <w:rFonts w:ascii="Arial" w:hAnsi="Arial" w:cs="Arial"/>
          <w:b/>
          <w:bCs/>
          <w:u w:val="single"/>
        </w:rPr>
        <w:t>Perspectivas para las Finanzas Públicas Estatales de Michoacán 2026</w:t>
      </w:r>
    </w:p>
    <w:p w14:paraId="3865CC8E" w14:textId="77777777" w:rsidR="002D108E" w:rsidRDefault="002D108E" w:rsidP="00D60720">
      <w:pPr>
        <w:spacing w:line="360" w:lineRule="auto"/>
        <w:jc w:val="both"/>
        <w:rPr>
          <w:rFonts w:ascii="Arial" w:hAnsi="Arial" w:cs="Arial"/>
        </w:rPr>
      </w:pPr>
    </w:p>
    <w:p w14:paraId="79896969" w14:textId="63BEBD3C" w:rsidR="002D108E" w:rsidRPr="002D108E" w:rsidRDefault="002D108E" w:rsidP="00D60720">
      <w:pPr>
        <w:spacing w:line="360" w:lineRule="auto"/>
        <w:jc w:val="both"/>
        <w:rPr>
          <w:rFonts w:ascii="Arial" w:hAnsi="Arial" w:cs="Arial"/>
        </w:rPr>
      </w:pPr>
      <w:r w:rsidRPr="002D108E">
        <w:rPr>
          <w:rFonts w:ascii="Arial" w:hAnsi="Arial" w:cs="Arial"/>
        </w:rPr>
        <w:t xml:space="preserve">La estimación total de ingresos para el Estado de Michoacán asciende a </w:t>
      </w:r>
      <w:r>
        <w:rPr>
          <w:rFonts w:ascii="Arial" w:hAnsi="Arial" w:cs="Arial"/>
        </w:rPr>
        <w:t>107</w:t>
      </w:r>
      <w:r w:rsidRPr="002D108E">
        <w:rPr>
          <w:rFonts w:ascii="Arial" w:hAnsi="Arial" w:cs="Arial"/>
        </w:rPr>
        <w:t xml:space="preserve"> mil </w:t>
      </w:r>
      <w:r>
        <w:rPr>
          <w:rFonts w:ascii="Arial" w:hAnsi="Arial" w:cs="Arial"/>
        </w:rPr>
        <w:t>884</w:t>
      </w:r>
      <w:r w:rsidRPr="002D108E">
        <w:rPr>
          <w:rFonts w:ascii="Arial" w:hAnsi="Arial" w:cs="Arial"/>
        </w:rPr>
        <w:t xml:space="preserve"> millones </w:t>
      </w:r>
      <w:r>
        <w:rPr>
          <w:rFonts w:ascii="Arial" w:hAnsi="Arial" w:cs="Arial"/>
        </w:rPr>
        <w:t>611</w:t>
      </w:r>
      <w:r w:rsidRPr="002D108E">
        <w:rPr>
          <w:rFonts w:ascii="Arial" w:hAnsi="Arial" w:cs="Arial"/>
        </w:rPr>
        <w:t xml:space="preserve"> mil </w:t>
      </w:r>
      <w:r>
        <w:rPr>
          <w:rFonts w:ascii="Arial" w:hAnsi="Arial" w:cs="Arial"/>
        </w:rPr>
        <w:t>261</w:t>
      </w:r>
      <w:r w:rsidRPr="002D108E">
        <w:rPr>
          <w:rFonts w:ascii="Arial" w:hAnsi="Arial" w:cs="Arial"/>
        </w:rPr>
        <w:t xml:space="preserve"> pesos, los que, con respecto a los estimados en el ejercicio fiscal del año 202</w:t>
      </w:r>
      <w:r>
        <w:rPr>
          <w:rFonts w:ascii="Arial" w:hAnsi="Arial" w:cs="Arial"/>
        </w:rPr>
        <w:t>5</w:t>
      </w:r>
      <w:r w:rsidRPr="002D108E">
        <w:rPr>
          <w:rFonts w:ascii="Arial" w:hAnsi="Arial" w:cs="Arial"/>
        </w:rPr>
        <w:t>, por 9</w:t>
      </w:r>
      <w:r>
        <w:rPr>
          <w:rFonts w:ascii="Arial" w:hAnsi="Arial" w:cs="Arial"/>
        </w:rPr>
        <w:t>8</w:t>
      </w:r>
      <w:r w:rsidRPr="002D108E">
        <w:rPr>
          <w:rFonts w:ascii="Arial" w:hAnsi="Arial" w:cs="Arial"/>
        </w:rPr>
        <w:t xml:space="preserve"> mil </w:t>
      </w:r>
      <w:r>
        <w:rPr>
          <w:rFonts w:ascii="Arial" w:hAnsi="Arial" w:cs="Arial"/>
        </w:rPr>
        <w:t>935</w:t>
      </w:r>
      <w:r w:rsidRPr="002D108E">
        <w:rPr>
          <w:rFonts w:ascii="Arial" w:hAnsi="Arial" w:cs="Arial"/>
        </w:rPr>
        <w:t xml:space="preserve"> millones, </w:t>
      </w:r>
      <w:r>
        <w:rPr>
          <w:rFonts w:ascii="Arial" w:hAnsi="Arial" w:cs="Arial"/>
        </w:rPr>
        <w:t>474</w:t>
      </w:r>
      <w:r w:rsidRPr="002D108E">
        <w:rPr>
          <w:rFonts w:ascii="Arial" w:hAnsi="Arial" w:cs="Arial"/>
        </w:rPr>
        <w:t xml:space="preserve"> mil 3</w:t>
      </w:r>
      <w:r>
        <w:rPr>
          <w:rFonts w:ascii="Arial" w:hAnsi="Arial" w:cs="Arial"/>
        </w:rPr>
        <w:t>1</w:t>
      </w:r>
      <w:r w:rsidRPr="002D108E">
        <w:rPr>
          <w:rFonts w:ascii="Arial" w:hAnsi="Arial" w:cs="Arial"/>
        </w:rPr>
        <w:t>5 pesos, observan</w:t>
      </w:r>
      <w:r w:rsidR="00D84CE9">
        <w:rPr>
          <w:rFonts w:ascii="Arial" w:hAnsi="Arial" w:cs="Arial"/>
        </w:rPr>
        <w:t>do</w:t>
      </w:r>
      <w:r w:rsidRPr="002D108E">
        <w:rPr>
          <w:rFonts w:ascii="Arial" w:hAnsi="Arial" w:cs="Arial"/>
        </w:rPr>
        <w:t xml:space="preserve"> un crecimiento de </w:t>
      </w:r>
      <w:r>
        <w:rPr>
          <w:rFonts w:ascii="Arial" w:hAnsi="Arial" w:cs="Arial"/>
        </w:rPr>
        <w:t>8</w:t>
      </w:r>
      <w:r w:rsidRPr="002D108E">
        <w:rPr>
          <w:rFonts w:ascii="Arial" w:hAnsi="Arial" w:cs="Arial"/>
        </w:rPr>
        <w:t xml:space="preserve"> mil </w:t>
      </w:r>
      <w:r>
        <w:rPr>
          <w:rFonts w:ascii="Arial" w:hAnsi="Arial" w:cs="Arial"/>
        </w:rPr>
        <w:t>949</w:t>
      </w:r>
      <w:r w:rsidRPr="002D108E">
        <w:rPr>
          <w:rFonts w:ascii="Arial" w:hAnsi="Arial" w:cs="Arial"/>
        </w:rPr>
        <w:t xml:space="preserve"> millones, </w:t>
      </w:r>
      <w:r>
        <w:rPr>
          <w:rFonts w:ascii="Arial" w:hAnsi="Arial" w:cs="Arial"/>
        </w:rPr>
        <w:t>136</w:t>
      </w:r>
      <w:r w:rsidRPr="002D108E">
        <w:rPr>
          <w:rFonts w:ascii="Arial" w:hAnsi="Arial" w:cs="Arial"/>
        </w:rPr>
        <w:t xml:space="preserve"> mil 9</w:t>
      </w:r>
      <w:r>
        <w:rPr>
          <w:rFonts w:ascii="Arial" w:hAnsi="Arial" w:cs="Arial"/>
        </w:rPr>
        <w:t>46</w:t>
      </w:r>
      <w:r w:rsidRPr="002D108E">
        <w:rPr>
          <w:rFonts w:ascii="Arial" w:hAnsi="Arial" w:cs="Arial"/>
        </w:rPr>
        <w:t xml:space="preserve"> pesos, que representa un incremento del </w:t>
      </w:r>
      <w:r>
        <w:rPr>
          <w:rFonts w:ascii="Arial" w:hAnsi="Arial" w:cs="Arial"/>
        </w:rPr>
        <w:t>9</w:t>
      </w:r>
      <w:r w:rsidRPr="002D108E">
        <w:rPr>
          <w:rFonts w:ascii="Arial" w:hAnsi="Arial" w:cs="Arial"/>
        </w:rPr>
        <w:t>% en valores nominales.</w:t>
      </w:r>
    </w:p>
    <w:p w14:paraId="4747D832" w14:textId="6CBC97E5" w:rsidR="002D108E" w:rsidRPr="00250219" w:rsidRDefault="002D108E" w:rsidP="00D60720">
      <w:pPr>
        <w:spacing w:line="360" w:lineRule="auto"/>
        <w:jc w:val="both"/>
        <w:rPr>
          <w:rFonts w:ascii="Arial" w:hAnsi="Arial" w:cs="Arial"/>
        </w:rPr>
      </w:pPr>
      <w:r>
        <w:rPr>
          <w:rFonts w:ascii="Arial" w:hAnsi="Arial" w:cs="Arial"/>
        </w:rPr>
        <w:br/>
      </w:r>
    </w:p>
    <w:p w14:paraId="3CB11A70" w14:textId="2B30C8F0" w:rsidR="002D108E" w:rsidRPr="00250219" w:rsidRDefault="002D108E" w:rsidP="00D60720">
      <w:pPr>
        <w:jc w:val="center"/>
        <w:rPr>
          <w:rFonts w:ascii="Arial" w:hAnsi="Arial" w:cs="Arial"/>
          <w:b/>
          <w:bCs/>
          <w:sz w:val="20"/>
          <w:szCs w:val="20"/>
        </w:rPr>
      </w:pPr>
      <w:r w:rsidRPr="002D108E">
        <w:rPr>
          <w:rFonts w:ascii="Arial" w:hAnsi="Arial" w:cs="Arial"/>
          <w:b/>
          <w:bCs/>
          <w:sz w:val="20"/>
          <w:szCs w:val="20"/>
        </w:rPr>
        <w:t xml:space="preserve">Resumen de la Iniciativa de Ley de Ingresos para el Ejercicio Fiscal 2025 </w:t>
      </w:r>
      <w:r>
        <w:rPr>
          <w:rFonts w:ascii="Arial" w:hAnsi="Arial" w:cs="Arial"/>
          <w:b/>
          <w:bCs/>
          <w:sz w:val="20"/>
          <w:szCs w:val="20"/>
        </w:rPr>
        <w:br/>
      </w:r>
      <w:r w:rsidRPr="00250219">
        <w:rPr>
          <w:rFonts w:ascii="Arial" w:hAnsi="Arial" w:cs="Arial"/>
          <w:i/>
          <w:iCs/>
          <w:sz w:val="20"/>
          <w:szCs w:val="20"/>
        </w:rPr>
        <w:t>Pesos Corrientes</w:t>
      </w:r>
    </w:p>
    <w:tbl>
      <w:tblPr>
        <w:tblpPr w:leftFromText="141" w:rightFromText="141" w:vertAnchor="text" w:horzAnchor="margin" w:tblpXSpec="center" w:tblpY="829"/>
        <w:tblW w:w="9651" w:type="dxa"/>
        <w:tblCellMar>
          <w:left w:w="70" w:type="dxa"/>
          <w:right w:w="70" w:type="dxa"/>
        </w:tblCellMar>
        <w:tblLook w:val="04A0" w:firstRow="1" w:lastRow="0" w:firstColumn="1" w:lastColumn="0" w:noHBand="0" w:noVBand="1"/>
      </w:tblPr>
      <w:tblGrid>
        <w:gridCol w:w="2797"/>
        <w:gridCol w:w="1700"/>
        <w:gridCol w:w="2000"/>
        <w:gridCol w:w="1950"/>
        <w:gridCol w:w="1204"/>
      </w:tblGrid>
      <w:tr w:rsidR="002D108E" w:rsidRPr="00250219" w14:paraId="7960331E" w14:textId="77777777" w:rsidTr="002D108E">
        <w:trPr>
          <w:trHeight w:val="375"/>
        </w:trPr>
        <w:tc>
          <w:tcPr>
            <w:tcW w:w="2986" w:type="dxa"/>
            <w:vMerge w:val="restart"/>
            <w:tcBorders>
              <w:top w:val="nil"/>
              <w:left w:val="nil"/>
              <w:bottom w:val="single" w:sz="4" w:space="0" w:color="000000"/>
              <w:right w:val="nil"/>
            </w:tcBorders>
            <w:shd w:val="clear" w:color="000000" w:fill="FFFFFF"/>
            <w:vAlign w:val="center"/>
            <w:hideMark/>
          </w:tcPr>
          <w:p w14:paraId="09D1F864" w14:textId="77777777"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Concepto</w:t>
            </w:r>
          </w:p>
        </w:tc>
        <w:tc>
          <w:tcPr>
            <w:tcW w:w="1700" w:type="dxa"/>
            <w:tcBorders>
              <w:top w:val="nil"/>
              <w:left w:val="nil"/>
              <w:bottom w:val="single" w:sz="4" w:space="0" w:color="auto"/>
              <w:right w:val="nil"/>
            </w:tcBorders>
            <w:shd w:val="clear" w:color="000000" w:fill="FFFFFF"/>
            <w:noWrap/>
            <w:vAlign w:val="center"/>
            <w:hideMark/>
          </w:tcPr>
          <w:p w14:paraId="5732DAB0" w14:textId="77777777"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LIE</w:t>
            </w:r>
          </w:p>
        </w:tc>
        <w:tc>
          <w:tcPr>
            <w:tcW w:w="2000" w:type="dxa"/>
            <w:tcBorders>
              <w:top w:val="nil"/>
              <w:left w:val="nil"/>
              <w:bottom w:val="single" w:sz="4" w:space="0" w:color="auto"/>
              <w:right w:val="nil"/>
            </w:tcBorders>
            <w:shd w:val="clear" w:color="000000" w:fill="FFFFFF"/>
            <w:noWrap/>
            <w:vAlign w:val="center"/>
            <w:hideMark/>
          </w:tcPr>
          <w:p w14:paraId="54FC666B" w14:textId="77777777"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 xml:space="preserve">Estimación </w:t>
            </w:r>
          </w:p>
        </w:tc>
        <w:tc>
          <w:tcPr>
            <w:tcW w:w="1950" w:type="dxa"/>
            <w:tcBorders>
              <w:top w:val="nil"/>
              <w:left w:val="nil"/>
              <w:bottom w:val="single" w:sz="4" w:space="0" w:color="auto"/>
              <w:right w:val="nil"/>
            </w:tcBorders>
            <w:noWrap/>
            <w:vAlign w:val="center"/>
            <w:hideMark/>
          </w:tcPr>
          <w:p w14:paraId="71F1FC2C" w14:textId="536C1E82"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 xml:space="preserve"> Diferencia</w:t>
            </w:r>
          </w:p>
        </w:tc>
        <w:tc>
          <w:tcPr>
            <w:tcW w:w="1015" w:type="dxa"/>
            <w:tcBorders>
              <w:top w:val="nil"/>
              <w:left w:val="nil"/>
              <w:bottom w:val="single" w:sz="4" w:space="0" w:color="auto"/>
              <w:right w:val="nil"/>
            </w:tcBorders>
            <w:noWrap/>
            <w:vAlign w:val="center"/>
            <w:hideMark/>
          </w:tcPr>
          <w:p w14:paraId="6B641400" w14:textId="77777777"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 xml:space="preserve"> Diferencia </w:t>
            </w:r>
          </w:p>
        </w:tc>
      </w:tr>
      <w:tr w:rsidR="00250219" w:rsidRPr="002D108E" w14:paraId="508038A9" w14:textId="77777777" w:rsidTr="002D108E">
        <w:trPr>
          <w:trHeight w:val="375"/>
        </w:trPr>
        <w:tc>
          <w:tcPr>
            <w:tcW w:w="2986" w:type="dxa"/>
            <w:vMerge/>
            <w:tcBorders>
              <w:top w:val="nil"/>
              <w:left w:val="nil"/>
              <w:bottom w:val="single" w:sz="4" w:space="0" w:color="000000"/>
              <w:right w:val="nil"/>
            </w:tcBorders>
            <w:vAlign w:val="center"/>
            <w:hideMark/>
          </w:tcPr>
          <w:p w14:paraId="7A95EE1F" w14:textId="77777777" w:rsidR="002D108E" w:rsidRPr="002D108E" w:rsidRDefault="002D108E" w:rsidP="00D60720">
            <w:pPr>
              <w:rPr>
                <w:rFonts w:ascii="Arial" w:hAnsi="Arial" w:cs="Arial"/>
                <w:b/>
                <w:bCs/>
                <w:color w:val="000000"/>
                <w:sz w:val="22"/>
                <w:szCs w:val="22"/>
              </w:rPr>
            </w:pPr>
          </w:p>
        </w:tc>
        <w:tc>
          <w:tcPr>
            <w:tcW w:w="1700" w:type="dxa"/>
            <w:tcBorders>
              <w:top w:val="nil"/>
              <w:left w:val="nil"/>
              <w:bottom w:val="single" w:sz="4" w:space="0" w:color="auto"/>
              <w:right w:val="nil"/>
            </w:tcBorders>
            <w:shd w:val="clear" w:color="000000" w:fill="FFFFFF"/>
            <w:noWrap/>
            <w:vAlign w:val="center"/>
            <w:hideMark/>
          </w:tcPr>
          <w:p w14:paraId="64DD0E93"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2025</w:t>
            </w:r>
          </w:p>
        </w:tc>
        <w:tc>
          <w:tcPr>
            <w:tcW w:w="2000" w:type="dxa"/>
            <w:tcBorders>
              <w:top w:val="nil"/>
              <w:left w:val="nil"/>
              <w:bottom w:val="single" w:sz="4" w:space="0" w:color="auto"/>
              <w:right w:val="nil"/>
            </w:tcBorders>
            <w:shd w:val="clear" w:color="000000" w:fill="FFFFFF"/>
            <w:noWrap/>
            <w:vAlign w:val="center"/>
            <w:hideMark/>
          </w:tcPr>
          <w:p w14:paraId="0F850C39"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2026</w:t>
            </w:r>
          </w:p>
        </w:tc>
        <w:tc>
          <w:tcPr>
            <w:tcW w:w="1950" w:type="dxa"/>
            <w:tcBorders>
              <w:top w:val="nil"/>
              <w:left w:val="nil"/>
              <w:bottom w:val="single" w:sz="4" w:space="0" w:color="auto"/>
              <w:right w:val="nil"/>
            </w:tcBorders>
            <w:noWrap/>
            <w:vAlign w:val="center"/>
            <w:hideMark/>
          </w:tcPr>
          <w:p w14:paraId="7E32B2FB"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c>
          <w:tcPr>
            <w:tcW w:w="1015" w:type="dxa"/>
            <w:tcBorders>
              <w:top w:val="nil"/>
              <w:left w:val="nil"/>
              <w:bottom w:val="single" w:sz="4" w:space="0" w:color="auto"/>
              <w:right w:val="nil"/>
            </w:tcBorders>
            <w:noWrap/>
            <w:vAlign w:val="center"/>
            <w:hideMark/>
          </w:tcPr>
          <w:p w14:paraId="7A0943F0"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r>
      <w:tr w:rsidR="002D108E" w:rsidRPr="00250219" w14:paraId="0CE48621" w14:textId="77777777" w:rsidTr="002D108E">
        <w:trPr>
          <w:trHeight w:val="375"/>
        </w:trPr>
        <w:tc>
          <w:tcPr>
            <w:tcW w:w="2986" w:type="dxa"/>
            <w:tcBorders>
              <w:top w:val="nil"/>
              <w:left w:val="nil"/>
              <w:bottom w:val="nil"/>
              <w:right w:val="nil"/>
            </w:tcBorders>
            <w:shd w:val="clear" w:color="000000" w:fill="FFFFFF"/>
            <w:vAlign w:val="center"/>
            <w:hideMark/>
          </w:tcPr>
          <w:p w14:paraId="620A8994"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Impuestos</w:t>
            </w:r>
          </w:p>
        </w:tc>
        <w:tc>
          <w:tcPr>
            <w:tcW w:w="1700" w:type="dxa"/>
            <w:tcBorders>
              <w:top w:val="nil"/>
              <w:left w:val="nil"/>
              <w:bottom w:val="nil"/>
              <w:right w:val="nil"/>
            </w:tcBorders>
            <w:shd w:val="clear" w:color="000000" w:fill="FFFFFF"/>
            <w:noWrap/>
            <w:vAlign w:val="center"/>
            <w:hideMark/>
          </w:tcPr>
          <w:p w14:paraId="494CD8F8"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4,196,927,572   </w:t>
            </w:r>
          </w:p>
        </w:tc>
        <w:tc>
          <w:tcPr>
            <w:tcW w:w="2000" w:type="dxa"/>
            <w:tcBorders>
              <w:top w:val="nil"/>
              <w:left w:val="nil"/>
              <w:bottom w:val="nil"/>
              <w:right w:val="nil"/>
            </w:tcBorders>
            <w:shd w:val="clear" w:color="000000" w:fill="FFFFFF"/>
            <w:noWrap/>
            <w:vAlign w:val="center"/>
            <w:hideMark/>
          </w:tcPr>
          <w:p w14:paraId="242C72A5"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5,363,467,128   </w:t>
            </w:r>
          </w:p>
        </w:tc>
        <w:tc>
          <w:tcPr>
            <w:tcW w:w="1950" w:type="dxa"/>
            <w:tcBorders>
              <w:top w:val="nil"/>
              <w:left w:val="nil"/>
              <w:bottom w:val="nil"/>
              <w:right w:val="nil"/>
            </w:tcBorders>
            <w:noWrap/>
            <w:vAlign w:val="center"/>
            <w:hideMark/>
          </w:tcPr>
          <w:p w14:paraId="5836E188"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1,166,539,556   </w:t>
            </w:r>
          </w:p>
        </w:tc>
        <w:tc>
          <w:tcPr>
            <w:tcW w:w="1015" w:type="dxa"/>
            <w:tcBorders>
              <w:top w:val="nil"/>
              <w:left w:val="nil"/>
              <w:bottom w:val="nil"/>
              <w:right w:val="nil"/>
            </w:tcBorders>
            <w:noWrap/>
            <w:vAlign w:val="center"/>
            <w:hideMark/>
          </w:tcPr>
          <w:p w14:paraId="4C770415"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27.80</w:t>
            </w:r>
          </w:p>
        </w:tc>
      </w:tr>
      <w:tr w:rsidR="002D108E" w:rsidRPr="00250219" w14:paraId="607AB57F" w14:textId="77777777" w:rsidTr="002D108E">
        <w:trPr>
          <w:trHeight w:val="375"/>
        </w:trPr>
        <w:tc>
          <w:tcPr>
            <w:tcW w:w="2986" w:type="dxa"/>
            <w:tcBorders>
              <w:top w:val="nil"/>
              <w:left w:val="nil"/>
              <w:bottom w:val="nil"/>
              <w:right w:val="nil"/>
            </w:tcBorders>
            <w:shd w:val="clear" w:color="000000" w:fill="FFFFFF"/>
            <w:vAlign w:val="center"/>
            <w:hideMark/>
          </w:tcPr>
          <w:p w14:paraId="35FA5410"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Derechos</w:t>
            </w:r>
          </w:p>
        </w:tc>
        <w:tc>
          <w:tcPr>
            <w:tcW w:w="1700" w:type="dxa"/>
            <w:tcBorders>
              <w:top w:val="nil"/>
              <w:left w:val="nil"/>
              <w:bottom w:val="nil"/>
              <w:right w:val="nil"/>
            </w:tcBorders>
            <w:shd w:val="clear" w:color="000000" w:fill="FFFFFF"/>
            <w:noWrap/>
            <w:vAlign w:val="center"/>
            <w:hideMark/>
          </w:tcPr>
          <w:p w14:paraId="5F77CCDE"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3,291,376,453   </w:t>
            </w:r>
          </w:p>
        </w:tc>
        <w:tc>
          <w:tcPr>
            <w:tcW w:w="2000" w:type="dxa"/>
            <w:tcBorders>
              <w:top w:val="nil"/>
              <w:left w:val="nil"/>
              <w:bottom w:val="nil"/>
              <w:right w:val="nil"/>
            </w:tcBorders>
            <w:shd w:val="clear" w:color="000000" w:fill="FFFFFF"/>
            <w:noWrap/>
            <w:vAlign w:val="center"/>
            <w:hideMark/>
          </w:tcPr>
          <w:p w14:paraId="11FB3F70"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3,938,125,785   </w:t>
            </w:r>
          </w:p>
        </w:tc>
        <w:tc>
          <w:tcPr>
            <w:tcW w:w="1950" w:type="dxa"/>
            <w:tcBorders>
              <w:top w:val="nil"/>
              <w:left w:val="nil"/>
              <w:bottom w:val="nil"/>
              <w:right w:val="nil"/>
            </w:tcBorders>
            <w:noWrap/>
            <w:vAlign w:val="center"/>
            <w:hideMark/>
          </w:tcPr>
          <w:p w14:paraId="6EBD568B"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646,749,332   </w:t>
            </w:r>
          </w:p>
        </w:tc>
        <w:tc>
          <w:tcPr>
            <w:tcW w:w="1015" w:type="dxa"/>
            <w:tcBorders>
              <w:top w:val="nil"/>
              <w:left w:val="nil"/>
              <w:bottom w:val="nil"/>
              <w:right w:val="nil"/>
            </w:tcBorders>
            <w:noWrap/>
            <w:vAlign w:val="center"/>
            <w:hideMark/>
          </w:tcPr>
          <w:p w14:paraId="70AE0ECD"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19.65</w:t>
            </w:r>
          </w:p>
        </w:tc>
      </w:tr>
      <w:tr w:rsidR="002D108E" w:rsidRPr="00250219" w14:paraId="58C8D626" w14:textId="77777777" w:rsidTr="002D108E">
        <w:trPr>
          <w:trHeight w:val="375"/>
        </w:trPr>
        <w:tc>
          <w:tcPr>
            <w:tcW w:w="2986" w:type="dxa"/>
            <w:tcBorders>
              <w:top w:val="nil"/>
              <w:left w:val="nil"/>
              <w:bottom w:val="nil"/>
              <w:right w:val="nil"/>
            </w:tcBorders>
            <w:shd w:val="clear" w:color="000000" w:fill="FFFFFF"/>
            <w:vAlign w:val="center"/>
            <w:hideMark/>
          </w:tcPr>
          <w:p w14:paraId="5E91C00C"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Productos</w:t>
            </w:r>
          </w:p>
        </w:tc>
        <w:tc>
          <w:tcPr>
            <w:tcW w:w="1700" w:type="dxa"/>
            <w:tcBorders>
              <w:top w:val="nil"/>
              <w:left w:val="nil"/>
              <w:bottom w:val="nil"/>
              <w:right w:val="nil"/>
            </w:tcBorders>
            <w:shd w:val="clear" w:color="000000" w:fill="FFFFFF"/>
            <w:noWrap/>
            <w:vAlign w:val="center"/>
            <w:hideMark/>
          </w:tcPr>
          <w:p w14:paraId="18817051"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261,477,681   </w:t>
            </w:r>
          </w:p>
        </w:tc>
        <w:tc>
          <w:tcPr>
            <w:tcW w:w="2000" w:type="dxa"/>
            <w:tcBorders>
              <w:top w:val="nil"/>
              <w:left w:val="nil"/>
              <w:bottom w:val="nil"/>
              <w:right w:val="nil"/>
            </w:tcBorders>
            <w:shd w:val="clear" w:color="000000" w:fill="FFFFFF"/>
            <w:noWrap/>
            <w:vAlign w:val="center"/>
            <w:hideMark/>
          </w:tcPr>
          <w:p w14:paraId="38BE92BE"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252,299,274   </w:t>
            </w:r>
          </w:p>
        </w:tc>
        <w:tc>
          <w:tcPr>
            <w:tcW w:w="1950" w:type="dxa"/>
            <w:tcBorders>
              <w:top w:val="nil"/>
              <w:left w:val="nil"/>
              <w:bottom w:val="nil"/>
              <w:right w:val="nil"/>
            </w:tcBorders>
            <w:noWrap/>
            <w:vAlign w:val="center"/>
            <w:hideMark/>
          </w:tcPr>
          <w:p w14:paraId="02104929"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9,178,407   </w:t>
            </w:r>
          </w:p>
        </w:tc>
        <w:tc>
          <w:tcPr>
            <w:tcW w:w="1015" w:type="dxa"/>
            <w:tcBorders>
              <w:top w:val="nil"/>
              <w:left w:val="nil"/>
              <w:bottom w:val="nil"/>
              <w:right w:val="nil"/>
            </w:tcBorders>
            <w:noWrap/>
            <w:vAlign w:val="center"/>
            <w:hideMark/>
          </w:tcPr>
          <w:p w14:paraId="45D35DF8"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-3.51</w:t>
            </w:r>
          </w:p>
        </w:tc>
      </w:tr>
      <w:tr w:rsidR="002D108E" w:rsidRPr="00250219" w14:paraId="5FB6CADC" w14:textId="77777777" w:rsidTr="002D108E">
        <w:trPr>
          <w:trHeight w:val="375"/>
        </w:trPr>
        <w:tc>
          <w:tcPr>
            <w:tcW w:w="2986" w:type="dxa"/>
            <w:tcBorders>
              <w:top w:val="nil"/>
              <w:left w:val="nil"/>
              <w:bottom w:val="nil"/>
              <w:right w:val="nil"/>
            </w:tcBorders>
            <w:shd w:val="clear" w:color="000000" w:fill="FFFFFF"/>
            <w:vAlign w:val="center"/>
            <w:hideMark/>
          </w:tcPr>
          <w:p w14:paraId="2BCC6598"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Aprovechamientos</w:t>
            </w:r>
          </w:p>
        </w:tc>
        <w:tc>
          <w:tcPr>
            <w:tcW w:w="1700" w:type="dxa"/>
            <w:tcBorders>
              <w:top w:val="nil"/>
              <w:left w:val="nil"/>
              <w:bottom w:val="nil"/>
              <w:right w:val="nil"/>
            </w:tcBorders>
            <w:shd w:val="clear" w:color="000000" w:fill="FFFFFF"/>
            <w:noWrap/>
            <w:vAlign w:val="center"/>
            <w:hideMark/>
          </w:tcPr>
          <w:p w14:paraId="5B624060"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711,497,340   </w:t>
            </w:r>
          </w:p>
        </w:tc>
        <w:tc>
          <w:tcPr>
            <w:tcW w:w="2000" w:type="dxa"/>
            <w:tcBorders>
              <w:top w:val="nil"/>
              <w:left w:val="nil"/>
              <w:bottom w:val="nil"/>
              <w:right w:val="nil"/>
            </w:tcBorders>
            <w:shd w:val="clear" w:color="000000" w:fill="FFFFFF"/>
            <w:noWrap/>
            <w:vAlign w:val="center"/>
            <w:hideMark/>
          </w:tcPr>
          <w:p w14:paraId="634C79A4"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740,103,414   </w:t>
            </w:r>
          </w:p>
        </w:tc>
        <w:tc>
          <w:tcPr>
            <w:tcW w:w="1950" w:type="dxa"/>
            <w:tcBorders>
              <w:top w:val="nil"/>
              <w:left w:val="nil"/>
              <w:bottom w:val="nil"/>
              <w:right w:val="nil"/>
            </w:tcBorders>
            <w:noWrap/>
            <w:vAlign w:val="center"/>
            <w:hideMark/>
          </w:tcPr>
          <w:p w14:paraId="07E36F75"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28,606,074   </w:t>
            </w:r>
          </w:p>
        </w:tc>
        <w:tc>
          <w:tcPr>
            <w:tcW w:w="1015" w:type="dxa"/>
            <w:tcBorders>
              <w:top w:val="nil"/>
              <w:left w:val="nil"/>
              <w:bottom w:val="nil"/>
              <w:right w:val="nil"/>
            </w:tcBorders>
            <w:noWrap/>
            <w:vAlign w:val="center"/>
            <w:hideMark/>
          </w:tcPr>
          <w:p w14:paraId="3B379E0A"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4.02</w:t>
            </w:r>
          </w:p>
        </w:tc>
      </w:tr>
      <w:tr w:rsidR="002D108E" w:rsidRPr="00250219" w14:paraId="38E3DEB7" w14:textId="77777777" w:rsidTr="002D108E">
        <w:trPr>
          <w:trHeight w:val="845"/>
        </w:trPr>
        <w:tc>
          <w:tcPr>
            <w:tcW w:w="2986" w:type="dxa"/>
            <w:tcBorders>
              <w:top w:val="nil"/>
              <w:left w:val="nil"/>
              <w:bottom w:val="nil"/>
              <w:right w:val="nil"/>
            </w:tcBorders>
            <w:shd w:val="clear" w:color="000000" w:fill="FFFFFF"/>
            <w:vAlign w:val="center"/>
            <w:hideMark/>
          </w:tcPr>
          <w:p w14:paraId="029142FA"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Ingresos por Venta de Bienes, Prestación de Servicios y Otros Ingresos</w:t>
            </w:r>
          </w:p>
        </w:tc>
        <w:tc>
          <w:tcPr>
            <w:tcW w:w="1700" w:type="dxa"/>
            <w:tcBorders>
              <w:top w:val="nil"/>
              <w:left w:val="nil"/>
              <w:bottom w:val="nil"/>
              <w:right w:val="nil"/>
            </w:tcBorders>
            <w:shd w:val="clear" w:color="000000" w:fill="FFFFFF"/>
            <w:noWrap/>
            <w:vAlign w:val="center"/>
            <w:hideMark/>
          </w:tcPr>
          <w:p w14:paraId="19C31743"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34,670,114   </w:t>
            </w:r>
          </w:p>
        </w:tc>
        <w:tc>
          <w:tcPr>
            <w:tcW w:w="2000" w:type="dxa"/>
            <w:tcBorders>
              <w:top w:val="nil"/>
              <w:left w:val="nil"/>
              <w:bottom w:val="nil"/>
              <w:right w:val="nil"/>
            </w:tcBorders>
            <w:shd w:val="clear" w:color="000000" w:fill="FFFFFF"/>
            <w:noWrap/>
            <w:vAlign w:val="center"/>
            <w:hideMark/>
          </w:tcPr>
          <w:p w14:paraId="6C601FC9"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c>
          <w:tcPr>
            <w:tcW w:w="1950" w:type="dxa"/>
            <w:tcBorders>
              <w:top w:val="nil"/>
              <w:left w:val="nil"/>
              <w:bottom w:val="nil"/>
              <w:right w:val="nil"/>
            </w:tcBorders>
            <w:noWrap/>
            <w:vAlign w:val="center"/>
            <w:hideMark/>
          </w:tcPr>
          <w:p w14:paraId="3EB04693"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34,670,114   </w:t>
            </w:r>
          </w:p>
        </w:tc>
        <w:tc>
          <w:tcPr>
            <w:tcW w:w="1015" w:type="dxa"/>
            <w:tcBorders>
              <w:top w:val="nil"/>
              <w:left w:val="nil"/>
              <w:bottom w:val="nil"/>
              <w:right w:val="nil"/>
            </w:tcBorders>
            <w:noWrap/>
            <w:vAlign w:val="center"/>
            <w:hideMark/>
          </w:tcPr>
          <w:p w14:paraId="0B904641"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-100.00</w:t>
            </w:r>
          </w:p>
        </w:tc>
      </w:tr>
      <w:tr w:rsidR="002D108E" w:rsidRPr="00250219" w14:paraId="21282A9D" w14:textId="77777777" w:rsidTr="002D108E">
        <w:trPr>
          <w:trHeight w:val="732"/>
        </w:trPr>
        <w:tc>
          <w:tcPr>
            <w:tcW w:w="2986" w:type="dxa"/>
            <w:tcBorders>
              <w:top w:val="nil"/>
              <w:left w:val="nil"/>
              <w:bottom w:val="nil"/>
              <w:right w:val="nil"/>
            </w:tcBorders>
            <w:shd w:val="clear" w:color="000000" w:fill="FFFFFF"/>
            <w:vAlign w:val="center"/>
            <w:hideMark/>
          </w:tcPr>
          <w:p w14:paraId="18E3E7AD"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Participaciones e Incentivos en Ingresos Federales</w:t>
            </w:r>
          </w:p>
        </w:tc>
        <w:tc>
          <w:tcPr>
            <w:tcW w:w="1700" w:type="dxa"/>
            <w:tcBorders>
              <w:top w:val="nil"/>
              <w:left w:val="nil"/>
              <w:bottom w:val="nil"/>
              <w:right w:val="nil"/>
            </w:tcBorders>
            <w:shd w:val="clear" w:color="000000" w:fill="FFFFFF"/>
            <w:noWrap/>
            <w:vAlign w:val="center"/>
            <w:hideMark/>
          </w:tcPr>
          <w:p w14:paraId="7A3B9F7A"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42,519,322,631   </w:t>
            </w:r>
          </w:p>
        </w:tc>
        <w:tc>
          <w:tcPr>
            <w:tcW w:w="2000" w:type="dxa"/>
            <w:tcBorders>
              <w:top w:val="nil"/>
              <w:left w:val="nil"/>
              <w:bottom w:val="nil"/>
              <w:right w:val="nil"/>
            </w:tcBorders>
            <w:shd w:val="clear" w:color="000000" w:fill="FFFFFF"/>
            <w:noWrap/>
            <w:vAlign w:val="center"/>
            <w:hideMark/>
          </w:tcPr>
          <w:p w14:paraId="5C61FE09"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45,889,658,218   </w:t>
            </w:r>
          </w:p>
        </w:tc>
        <w:tc>
          <w:tcPr>
            <w:tcW w:w="1950" w:type="dxa"/>
            <w:tcBorders>
              <w:top w:val="nil"/>
              <w:left w:val="nil"/>
              <w:bottom w:val="nil"/>
              <w:right w:val="nil"/>
            </w:tcBorders>
            <w:noWrap/>
            <w:vAlign w:val="center"/>
            <w:hideMark/>
          </w:tcPr>
          <w:p w14:paraId="365B7CB5"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3,370,335,587   </w:t>
            </w:r>
          </w:p>
        </w:tc>
        <w:tc>
          <w:tcPr>
            <w:tcW w:w="1015" w:type="dxa"/>
            <w:tcBorders>
              <w:top w:val="nil"/>
              <w:left w:val="nil"/>
              <w:bottom w:val="nil"/>
              <w:right w:val="nil"/>
            </w:tcBorders>
            <w:noWrap/>
            <w:vAlign w:val="center"/>
            <w:hideMark/>
          </w:tcPr>
          <w:p w14:paraId="6ECBF2A2"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7.93</w:t>
            </w:r>
          </w:p>
        </w:tc>
      </w:tr>
      <w:tr w:rsidR="002D108E" w:rsidRPr="00250219" w14:paraId="244EE83D" w14:textId="77777777" w:rsidTr="002D108E">
        <w:trPr>
          <w:trHeight w:val="695"/>
        </w:trPr>
        <w:tc>
          <w:tcPr>
            <w:tcW w:w="2986" w:type="dxa"/>
            <w:tcBorders>
              <w:top w:val="nil"/>
              <w:left w:val="nil"/>
              <w:bottom w:val="nil"/>
              <w:right w:val="nil"/>
            </w:tcBorders>
            <w:shd w:val="clear" w:color="000000" w:fill="FFFFFF"/>
            <w:vAlign w:val="center"/>
            <w:hideMark/>
          </w:tcPr>
          <w:p w14:paraId="1CF782F5"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Fondos de Aportaciones Federales del Ramo 33</w:t>
            </w:r>
          </w:p>
        </w:tc>
        <w:tc>
          <w:tcPr>
            <w:tcW w:w="1700" w:type="dxa"/>
            <w:tcBorders>
              <w:top w:val="nil"/>
              <w:left w:val="nil"/>
              <w:bottom w:val="nil"/>
              <w:right w:val="nil"/>
            </w:tcBorders>
            <w:shd w:val="clear" w:color="000000" w:fill="FFFFFF"/>
            <w:noWrap/>
            <w:vAlign w:val="center"/>
            <w:hideMark/>
          </w:tcPr>
          <w:p w14:paraId="5E67B423"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42,620,449,041   </w:t>
            </w:r>
          </w:p>
        </w:tc>
        <w:tc>
          <w:tcPr>
            <w:tcW w:w="2000" w:type="dxa"/>
            <w:tcBorders>
              <w:top w:val="nil"/>
              <w:left w:val="nil"/>
              <w:bottom w:val="nil"/>
              <w:right w:val="nil"/>
            </w:tcBorders>
            <w:shd w:val="clear" w:color="000000" w:fill="FFFFFF"/>
            <w:noWrap/>
            <w:vAlign w:val="center"/>
            <w:hideMark/>
          </w:tcPr>
          <w:p w14:paraId="4B769953"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42,853,474,373   </w:t>
            </w:r>
          </w:p>
        </w:tc>
        <w:tc>
          <w:tcPr>
            <w:tcW w:w="1950" w:type="dxa"/>
            <w:tcBorders>
              <w:top w:val="nil"/>
              <w:left w:val="nil"/>
              <w:bottom w:val="nil"/>
              <w:right w:val="nil"/>
            </w:tcBorders>
            <w:noWrap/>
            <w:vAlign w:val="center"/>
            <w:hideMark/>
          </w:tcPr>
          <w:p w14:paraId="1FE4F399"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233,025,332   </w:t>
            </w:r>
          </w:p>
        </w:tc>
        <w:tc>
          <w:tcPr>
            <w:tcW w:w="1015" w:type="dxa"/>
            <w:tcBorders>
              <w:top w:val="nil"/>
              <w:left w:val="nil"/>
              <w:bottom w:val="nil"/>
              <w:right w:val="nil"/>
            </w:tcBorders>
            <w:noWrap/>
            <w:vAlign w:val="center"/>
            <w:hideMark/>
          </w:tcPr>
          <w:p w14:paraId="2D620462"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0.55</w:t>
            </w:r>
          </w:p>
        </w:tc>
      </w:tr>
      <w:tr w:rsidR="002D108E" w:rsidRPr="00250219" w14:paraId="4BAB2901" w14:textId="77777777" w:rsidTr="002D108E">
        <w:trPr>
          <w:trHeight w:val="563"/>
        </w:trPr>
        <w:tc>
          <w:tcPr>
            <w:tcW w:w="2986" w:type="dxa"/>
            <w:tcBorders>
              <w:top w:val="nil"/>
              <w:left w:val="nil"/>
              <w:bottom w:val="nil"/>
              <w:right w:val="nil"/>
            </w:tcBorders>
            <w:shd w:val="clear" w:color="000000" w:fill="FFFFFF"/>
            <w:vAlign w:val="center"/>
            <w:hideMark/>
          </w:tcPr>
          <w:p w14:paraId="02302E53"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Transferencias Federales por Convenio</w:t>
            </w:r>
          </w:p>
        </w:tc>
        <w:tc>
          <w:tcPr>
            <w:tcW w:w="1700" w:type="dxa"/>
            <w:tcBorders>
              <w:top w:val="nil"/>
              <w:left w:val="nil"/>
              <w:bottom w:val="nil"/>
              <w:right w:val="nil"/>
            </w:tcBorders>
            <w:shd w:val="clear" w:color="000000" w:fill="FFFFFF"/>
            <w:noWrap/>
            <w:vAlign w:val="center"/>
            <w:hideMark/>
          </w:tcPr>
          <w:p w14:paraId="0D6DE88B"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4,782,962,881   </w:t>
            </w:r>
          </w:p>
        </w:tc>
        <w:tc>
          <w:tcPr>
            <w:tcW w:w="2000" w:type="dxa"/>
            <w:tcBorders>
              <w:top w:val="nil"/>
              <w:left w:val="nil"/>
              <w:bottom w:val="nil"/>
              <w:right w:val="nil"/>
            </w:tcBorders>
            <w:shd w:val="clear" w:color="000000" w:fill="FFFFFF"/>
            <w:noWrap/>
            <w:vAlign w:val="center"/>
            <w:hideMark/>
          </w:tcPr>
          <w:p w14:paraId="4C7ECD6D"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8,176,592,848   </w:t>
            </w:r>
          </w:p>
        </w:tc>
        <w:tc>
          <w:tcPr>
            <w:tcW w:w="1950" w:type="dxa"/>
            <w:tcBorders>
              <w:top w:val="nil"/>
              <w:left w:val="nil"/>
              <w:bottom w:val="nil"/>
              <w:right w:val="nil"/>
            </w:tcBorders>
            <w:noWrap/>
            <w:vAlign w:val="center"/>
            <w:hideMark/>
          </w:tcPr>
          <w:p w14:paraId="379BB088"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3,393,629,967   </w:t>
            </w:r>
          </w:p>
        </w:tc>
        <w:tc>
          <w:tcPr>
            <w:tcW w:w="1015" w:type="dxa"/>
            <w:tcBorders>
              <w:top w:val="nil"/>
              <w:left w:val="nil"/>
              <w:bottom w:val="nil"/>
              <w:right w:val="nil"/>
            </w:tcBorders>
            <w:noWrap/>
            <w:vAlign w:val="center"/>
            <w:hideMark/>
          </w:tcPr>
          <w:p w14:paraId="6AD01464"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70.95</w:t>
            </w:r>
          </w:p>
        </w:tc>
      </w:tr>
      <w:tr w:rsidR="002D108E" w:rsidRPr="00250219" w14:paraId="2064D2F1" w14:textId="77777777" w:rsidTr="002D108E">
        <w:trPr>
          <w:trHeight w:val="563"/>
        </w:trPr>
        <w:tc>
          <w:tcPr>
            <w:tcW w:w="2986" w:type="dxa"/>
            <w:tcBorders>
              <w:top w:val="nil"/>
              <w:left w:val="nil"/>
              <w:bottom w:val="nil"/>
              <w:right w:val="nil"/>
            </w:tcBorders>
            <w:shd w:val="clear" w:color="000000" w:fill="FFFFFF"/>
            <w:vAlign w:val="center"/>
            <w:hideMark/>
          </w:tcPr>
          <w:p w14:paraId="0050DBC4"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Incentivos derivados de Coordinación Fiscal</w:t>
            </w:r>
          </w:p>
        </w:tc>
        <w:tc>
          <w:tcPr>
            <w:tcW w:w="1700" w:type="dxa"/>
            <w:tcBorders>
              <w:top w:val="nil"/>
              <w:left w:val="nil"/>
              <w:bottom w:val="nil"/>
              <w:right w:val="nil"/>
            </w:tcBorders>
            <w:shd w:val="clear" w:color="000000" w:fill="FFFFFF"/>
            <w:noWrap/>
            <w:vAlign w:val="center"/>
            <w:hideMark/>
          </w:tcPr>
          <w:p w14:paraId="390B9DDC"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516,790,602   </w:t>
            </w:r>
          </w:p>
        </w:tc>
        <w:tc>
          <w:tcPr>
            <w:tcW w:w="2000" w:type="dxa"/>
            <w:tcBorders>
              <w:top w:val="nil"/>
              <w:left w:val="nil"/>
              <w:bottom w:val="nil"/>
              <w:right w:val="nil"/>
            </w:tcBorders>
            <w:shd w:val="clear" w:color="000000" w:fill="FFFFFF"/>
            <w:noWrap/>
            <w:vAlign w:val="center"/>
            <w:hideMark/>
          </w:tcPr>
          <w:p w14:paraId="0DB3C87C"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670,890,221   </w:t>
            </w:r>
          </w:p>
        </w:tc>
        <w:tc>
          <w:tcPr>
            <w:tcW w:w="1950" w:type="dxa"/>
            <w:tcBorders>
              <w:top w:val="nil"/>
              <w:left w:val="nil"/>
              <w:bottom w:val="nil"/>
              <w:right w:val="nil"/>
            </w:tcBorders>
            <w:noWrap/>
            <w:vAlign w:val="center"/>
            <w:hideMark/>
          </w:tcPr>
          <w:p w14:paraId="451EEA74"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154,099,619   </w:t>
            </w:r>
          </w:p>
        </w:tc>
        <w:tc>
          <w:tcPr>
            <w:tcW w:w="1015" w:type="dxa"/>
            <w:tcBorders>
              <w:top w:val="nil"/>
              <w:left w:val="nil"/>
              <w:bottom w:val="nil"/>
              <w:right w:val="nil"/>
            </w:tcBorders>
            <w:noWrap/>
            <w:vAlign w:val="center"/>
            <w:hideMark/>
          </w:tcPr>
          <w:p w14:paraId="4E1540D4"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29.82</w:t>
            </w:r>
          </w:p>
        </w:tc>
      </w:tr>
      <w:tr w:rsidR="002D108E" w:rsidRPr="00250219" w14:paraId="24A26313" w14:textId="77777777" w:rsidTr="002D108E">
        <w:trPr>
          <w:trHeight w:val="375"/>
        </w:trPr>
        <w:tc>
          <w:tcPr>
            <w:tcW w:w="2986" w:type="dxa"/>
            <w:tcBorders>
              <w:top w:val="nil"/>
              <w:left w:val="nil"/>
              <w:bottom w:val="nil"/>
              <w:right w:val="nil"/>
            </w:tcBorders>
            <w:shd w:val="clear" w:color="000000" w:fill="FFFFFF"/>
            <w:vAlign w:val="center"/>
            <w:hideMark/>
          </w:tcPr>
          <w:p w14:paraId="56FD3DCB"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Fondos distintos de Aportaciones</w:t>
            </w:r>
          </w:p>
        </w:tc>
        <w:tc>
          <w:tcPr>
            <w:tcW w:w="1700" w:type="dxa"/>
            <w:tcBorders>
              <w:top w:val="nil"/>
              <w:left w:val="nil"/>
              <w:bottom w:val="nil"/>
              <w:right w:val="nil"/>
            </w:tcBorders>
            <w:shd w:val="clear" w:color="000000" w:fill="FFFFFF"/>
            <w:noWrap/>
            <w:vAlign w:val="center"/>
            <w:hideMark/>
          </w:tcPr>
          <w:p w14:paraId="4C387135"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c>
          <w:tcPr>
            <w:tcW w:w="2000" w:type="dxa"/>
            <w:tcBorders>
              <w:top w:val="nil"/>
              <w:left w:val="nil"/>
              <w:bottom w:val="nil"/>
              <w:right w:val="nil"/>
            </w:tcBorders>
            <w:shd w:val="clear" w:color="000000" w:fill="FFFFFF"/>
            <w:noWrap/>
            <w:vAlign w:val="center"/>
            <w:hideMark/>
          </w:tcPr>
          <w:p w14:paraId="2C5BDDA4"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c>
          <w:tcPr>
            <w:tcW w:w="1950" w:type="dxa"/>
            <w:tcBorders>
              <w:top w:val="nil"/>
              <w:left w:val="nil"/>
              <w:bottom w:val="nil"/>
              <w:right w:val="nil"/>
            </w:tcBorders>
            <w:noWrap/>
            <w:vAlign w:val="center"/>
            <w:hideMark/>
          </w:tcPr>
          <w:p w14:paraId="5B5298D2"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c>
          <w:tcPr>
            <w:tcW w:w="1015" w:type="dxa"/>
            <w:tcBorders>
              <w:top w:val="nil"/>
              <w:left w:val="nil"/>
              <w:bottom w:val="nil"/>
              <w:right w:val="nil"/>
            </w:tcBorders>
            <w:noWrap/>
            <w:vAlign w:val="center"/>
            <w:hideMark/>
          </w:tcPr>
          <w:p w14:paraId="0ABD8BA1"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0.00</w:t>
            </w:r>
          </w:p>
        </w:tc>
      </w:tr>
      <w:tr w:rsidR="002D108E" w:rsidRPr="00250219" w14:paraId="6FD633A6" w14:textId="77777777" w:rsidTr="002D108E">
        <w:trPr>
          <w:trHeight w:val="563"/>
        </w:trPr>
        <w:tc>
          <w:tcPr>
            <w:tcW w:w="2986" w:type="dxa"/>
            <w:tcBorders>
              <w:top w:val="nil"/>
              <w:left w:val="nil"/>
              <w:bottom w:val="single" w:sz="4" w:space="0" w:color="auto"/>
              <w:right w:val="nil"/>
            </w:tcBorders>
            <w:shd w:val="clear" w:color="000000" w:fill="FFFFFF"/>
            <w:vAlign w:val="center"/>
            <w:hideMark/>
          </w:tcPr>
          <w:p w14:paraId="04BFA39A"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 xml:space="preserve"> Ingresos Derivados de Financiamientos </w:t>
            </w:r>
          </w:p>
        </w:tc>
        <w:tc>
          <w:tcPr>
            <w:tcW w:w="1700" w:type="dxa"/>
            <w:tcBorders>
              <w:top w:val="nil"/>
              <w:left w:val="nil"/>
              <w:bottom w:val="single" w:sz="4" w:space="0" w:color="auto"/>
              <w:right w:val="nil"/>
            </w:tcBorders>
            <w:shd w:val="clear" w:color="000000" w:fill="FFFFFF"/>
            <w:noWrap/>
            <w:vAlign w:val="center"/>
            <w:hideMark/>
          </w:tcPr>
          <w:p w14:paraId="46F3FA4D"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c>
          <w:tcPr>
            <w:tcW w:w="2000" w:type="dxa"/>
            <w:tcBorders>
              <w:top w:val="nil"/>
              <w:left w:val="nil"/>
              <w:bottom w:val="single" w:sz="4" w:space="0" w:color="auto"/>
              <w:right w:val="nil"/>
            </w:tcBorders>
            <w:shd w:val="clear" w:color="000000" w:fill="FFFFFF"/>
            <w:noWrap/>
            <w:vAlign w:val="center"/>
            <w:hideMark/>
          </w:tcPr>
          <w:p w14:paraId="18D62E06"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c>
          <w:tcPr>
            <w:tcW w:w="1950" w:type="dxa"/>
            <w:tcBorders>
              <w:top w:val="nil"/>
              <w:left w:val="nil"/>
              <w:bottom w:val="single" w:sz="4" w:space="0" w:color="auto"/>
              <w:right w:val="nil"/>
            </w:tcBorders>
            <w:noWrap/>
            <w:vAlign w:val="center"/>
            <w:hideMark/>
          </w:tcPr>
          <w:p w14:paraId="6BB04BAF"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 xml:space="preserve">               -     </w:t>
            </w:r>
          </w:p>
        </w:tc>
        <w:tc>
          <w:tcPr>
            <w:tcW w:w="1015" w:type="dxa"/>
            <w:tcBorders>
              <w:top w:val="nil"/>
              <w:left w:val="nil"/>
              <w:bottom w:val="single" w:sz="4" w:space="0" w:color="auto"/>
              <w:right w:val="nil"/>
            </w:tcBorders>
            <w:noWrap/>
            <w:vAlign w:val="center"/>
            <w:hideMark/>
          </w:tcPr>
          <w:p w14:paraId="6554588E" w14:textId="77777777" w:rsidR="002D108E" w:rsidRPr="002D108E" w:rsidRDefault="002D108E" w:rsidP="00D60720">
            <w:pPr>
              <w:jc w:val="center"/>
              <w:rPr>
                <w:rFonts w:ascii="Arial" w:hAnsi="Arial" w:cs="Arial"/>
                <w:color w:val="000000"/>
                <w:sz w:val="22"/>
                <w:szCs w:val="22"/>
              </w:rPr>
            </w:pPr>
            <w:r w:rsidRPr="002D108E">
              <w:rPr>
                <w:rFonts w:ascii="Arial" w:hAnsi="Arial" w:cs="Arial"/>
                <w:color w:val="000000"/>
                <w:sz w:val="22"/>
                <w:szCs w:val="22"/>
              </w:rPr>
              <w:t>0.00</w:t>
            </w:r>
          </w:p>
        </w:tc>
      </w:tr>
      <w:tr w:rsidR="00250219" w:rsidRPr="002D108E" w14:paraId="6463C9F3" w14:textId="77777777" w:rsidTr="002D108E">
        <w:trPr>
          <w:trHeight w:val="375"/>
        </w:trPr>
        <w:tc>
          <w:tcPr>
            <w:tcW w:w="2986" w:type="dxa"/>
            <w:tcBorders>
              <w:top w:val="nil"/>
              <w:left w:val="nil"/>
              <w:bottom w:val="nil"/>
              <w:right w:val="nil"/>
            </w:tcBorders>
            <w:shd w:val="clear" w:color="000000" w:fill="FFFFFF"/>
            <w:vAlign w:val="center"/>
            <w:hideMark/>
          </w:tcPr>
          <w:p w14:paraId="07884F02" w14:textId="77777777" w:rsidR="002D108E" w:rsidRPr="002D108E" w:rsidRDefault="002D108E" w:rsidP="00D60720">
            <w:pPr>
              <w:rPr>
                <w:rFonts w:ascii="Arial" w:hAnsi="Arial" w:cs="Arial"/>
                <w:color w:val="000000"/>
                <w:sz w:val="22"/>
                <w:szCs w:val="22"/>
              </w:rPr>
            </w:pPr>
            <w:r w:rsidRPr="002D108E">
              <w:rPr>
                <w:rFonts w:ascii="Arial" w:hAnsi="Arial" w:cs="Arial"/>
                <w:color w:val="000000"/>
                <w:sz w:val="22"/>
                <w:szCs w:val="22"/>
              </w:rPr>
              <w:t xml:space="preserve"> Total </w:t>
            </w:r>
          </w:p>
        </w:tc>
        <w:tc>
          <w:tcPr>
            <w:tcW w:w="1700" w:type="dxa"/>
            <w:tcBorders>
              <w:top w:val="nil"/>
              <w:left w:val="nil"/>
              <w:bottom w:val="nil"/>
              <w:right w:val="nil"/>
            </w:tcBorders>
            <w:shd w:val="clear" w:color="000000" w:fill="FFFFFF"/>
            <w:noWrap/>
            <w:vAlign w:val="center"/>
            <w:hideMark/>
          </w:tcPr>
          <w:p w14:paraId="134BC231" w14:textId="77777777"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 xml:space="preserve"> 98,935,474,315   </w:t>
            </w:r>
          </w:p>
        </w:tc>
        <w:tc>
          <w:tcPr>
            <w:tcW w:w="2000" w:type="dxa"/>
            <w:tcBorders>
              <w:top w:val="nil"/>
              <w:left w:val="nil"/>
              <w:bottom w:val="nil"/>
              <w:right w:val="nil"/>
            </w:tcBorders>
            <w:shd w:val="clear" w:color="000000" w:fill="FFFFFF"/>
            <w:noWrap/>
            <w:vAlign w:val="center"/>
            <w:hideMark/>
          </w:tcPr>
          <w:p w14:paraId="5C6589B2" w14:textId="77777777"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 xml:space="preserve">    107,884,611,261   </w:t>
            </w:r>
          </w:p>
        </w:tc>
        <w:tc>
          <w:tcPr>
            <w:tcW w:w="1950" w:type="dxa"/>
            <w:tcBorders>
              <w:top w:val="nil"/>
              <w:left w:val="nil"/>
              <w:bottom w:val="nil"/>
              <w:right w:val="nil"/>
            </w:tcBorders>
            <w:noWrap/>
            <w:vAlign w:val="center"/>
            <w:hideMark/>
          </w:tcPr>
          <w:p w14:paraId="3E605ED6" w14:textId="77777777"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 xml:space="preserve">     8,949,136,946   </w:t>
            </w:r>
          </w:p>
        </w:tc>
        <w:tc>
          <w:tcPr>
            <w:tcW w:w="1015" w:type="dxa"/>
            <w:tcBorders>
              <w:top w:val="nil"/>
              <w:left w:val="nil"/>
              <w:bottom w:val="nil"/>
              <w:right w:val="nil"/>
            </w:tcBorders>
            <w:noWrap/>
            <w:vAlign w:val="center"/>
            <w:hideMark/>
          </w:tcPr>
          <w:p w14:paraId="1223042C" w14:textId="77777777" w:rsidR="002D108E" w:rsidRPr="002D108E" w:rsidRDefault="002D108E" w:rsidP="00D60720">
            <w:pPr>
              <w:jc w:val="center"/>
              <w:rPr>
                <w:rFonts w:ascii="Arial" w:hAnsi="Arial" w:cs="Arial"/>
                <w:b/>
                <w:bCs/>
                <w:color w:val="000000"/>
                <w:sz w:val="22"/>
                <w:szCs w:val="22"/>
              </w:rPr>
            </w:pPr>
            <w:r w:rsidRPr="002D108E">
              <w:rPr>
                <w:rFonts w:ascii="Arial" w:hAnsi="Arial" w:cs="Arial"/>
                <w:b/>
                <w:bCs/>
                <w:color w:val="000000"/>
                <w:sz w:val="22"/>
                <w:szCs w:val="22"/>
              </w:rPr>
              <w:t>9.05</w:t>
            </w:r>
          </w:p>
        </w:tc>
      </w:tr>
    </w:tbl>
    <w:p w14:paraId="28CB89BC" w14:textId="77777777" w:rsidR="002D108E" w:rsidRPr="00DB1597" w:rsidRDefault="002D108E" w:rsidP="00D60720">
      <w:pPr>
        <w:spacing w:line="360" w:lineRule="auto"/>
        <w:jc w:val="both"/>
        <w:rPr>
          <w:rFonts w:ascii="Arial" w:hAnsi="Arial" w:cs="Arial"/>
        </w:rPr>
      </w:pPr>
    </w:p>
    <w:p w14:paraId="45CBD145" w14:textId="77777777" w:rsidR="00250219" w:rsidRDefault="00250219" w:rsidP="00D60720">
      <w:pPr>
        <w:spacing w:line="360" w:lineRule="auto"/>
        <w:ind w:left="720"/>
        <w:jc w:val="both"/>
        <w:rPr>
          <w:rFonts w:ascii="Arial" w:hAnsi="Arial" w:cs="Arial"/>
          <w:sz w:val="20"/>
          <w:szCs w:val="20"/>
        </w:rPr>
      </w:pPr>
    </w:p>
    <w:p w14:paraId="40708A01" w14:textId="1A1C2BDF" w:rsidR="00EF70DE" w:rsidRPr="00EF70DE" w:rsidRDefault="00EF70DE" w:rsidP="00D60720">
      <w:pPr>
        <w:spacing w:line="360" w:lineRule="auto"/>
        <w:ind w:left="720"/>
        <w:jc w:val="both"/>
        <w:rPr>
          <w:rFonts w:ascii="Arial" w:hAnsi="Arial" w:cs="Arial"/>
          <w:sz w:val="20"/>
          <w:szCs w:val="20"/>
        </w:rPr>
      </w:pPr>
      <w:r w:rsidRPr="00EF70DE">
        <w:rPr>
          <w:rFonts w:ascii="Arial" w:hAnsi="Arial" w:cs="Arial"/>
          <w:sz w:val="20"/>
          <w:szCs w:val="20"/>
        </w:rPr>
        <w:t>Fuente: Elaborado por la Subsecretaría de Finanzas de la Secretaría de Finanzas y Administración.</w:t>
      </w:r>
    </w:p>
    <w:p w14:paraId="2A6C0C72" w14:textId="77777777" w:rsidR="00617EA4" w:rsidRDefault="00617EA4" w:rsidP="00D60720">
      <w:pPr>
        <w:spacing w:line="360" w:lineRule="auto"/>
        <w:jc w:val="both"/>
        <w:rPr>
          <w:rFonts w:ascii="Arial" w:hAnsi="Arial" w:cs="Arial"/>
        </w:rPr>
      </w:pPr>
    </w:p>
    <w:p w14:paraId="15FAF9E0" w14:textId="77777777" w:rsidR="00C86B7C" w:rsidRPr="00C86B7C" w:rsidRDefault="00575935" w:rsidP="00D60720">
      <w:pPr>
        <w:spacing w:line="360" w:lineRule="auto"/>
        <w:jc w:val="both"/>
        <w:rPr>
          <w:rFonts w:ascii="Arial" w:hAnsi="Arial" w:cs="Arial"/>
          <w:lang w:val="es-ES"/>
        </w:rPr>
      </w:pPr>
      <w:r w:rsidRPr="00575935">
        <w:rPr>
          <w:rFonts w:ascii="Arial" w:hAnsi="Arial" w:cs="Arial"/>
        </w:rPr>
        <w:t>Atendiendo a su origen, los ingresos estimados para 202</w:t>
      </w:r>
      <w:r>
        <w:rPr>
          <w:rFonts w:ascii="Arial" w:hAnsi="Arial" w:cs="Arial"/>
        </w:rPr>
        <w:t>6</w:t>
      </w:r>
      <w:r w:rsidRPr="00575935">
        <w:rPr>
          <w:rFonts w:ascii="Arial" w:hAnsi="Arial" w:cs="Arial"/>
        </w:rPr>
        <w:t>, provienen de dos fuentes: las que corresponden a ingresos de origen local</w:t>
      </w:r>
      <w:r w:rsidR="00C86B7C">
        <w:rPr>
          <w:rFonts w:ascii="Arial" w:hAnsi="Arial" w:cs="Arial"/>
        </w:rPr>
        <w:t xml:space="preserve">. </w:t>
      </w:r>
      <w:r w:rsidR="00C86B7C">
        <w:rPr>
          <w:rFonts w:ascii="Arial" w:hAnsi="Arial" w:cs="Arial"/>
          <w:lang w:val="es-ES"/>
        </w:rPr>
        <w:t>S</w:t>
      </w:r>
      <w:r w:rsidR="00C86B7C" w:rsidRPr="00C86B7C">
        <w:rPr>
          <w:rFonts w:ascii="Arial" w:hAnsi="Arial" w:cs="Arial"/>
          <w:lang w:val="es-ES"/>
        </w:rPr>
        <w:t xml:space="preserve">on recaudados en forma regular por el </w:t>
      </w:r>
      <w:r w:rsidR="00C86B7C">
        <w:rPr>
          <w:rFonts w:ascii="Arial" w:hAnsi="Arial" w:cs="Arial"/>
          <w:lang w:val="es-ES"/>
        </w:rPr>
        <w:t>e</w:t>
      </w:r>
      <w:r w:rsidR="00C86B7C" w:rsidRPr="00C86B7C">
        <w:rPr>
          <w:rFonts w:ascii="Arial" w:hAnsi="Arial" w:cs="Arial"/>
          <w:lang w:val="es-ES"/>
        </w:rPr>
        <w:t>stado, tales como: Impuestos, Derechos, Productos, Aprovechamientos y los Ingresos por la Venta de Bienes, Prestación de Servicios y Otros Ingresos</w:t>
      </w:r>
      <w:r w:rsidRPr="00575935">
        <w:rPr>
          <w:rFonts w:ascii="Arial" w:hAnsi="Arial" w:cs="Arial"/>
        </w:rPr>
        <w:t xml:space="preserve"> que representan el </w:t>
      </w:r>
      <w:r>
        <w:rPr>
          <w:rFonts w:ascii="Arial" w:hAnsi="Arial" w:cs="Arial"/>
        </w:rPr>
        <w:t>9.54</w:t>
      </w:r>
      <w:r w:rsidRPr="00575935">
        <w:rPr>
          <w:rFonts w:ascii="Arial" w:hAnsi="Arial" w:cs="Arial"/>
        </w:rPr>
        <w:t>%, mientras que los recursos de origen federal representan el 9</w:t>
      </w:r>
      <w:r>
        <w:rPr>
          <w:rFonts w:ascii="Arial" w:hAnsi="Arial" w:cs="Arial"/>
        </w:rPr>
        <w:t>0.46</w:t>
      </w:r>
      <w:r w:rsidRPr="00575935">
        <w:rPr>
          <w:rFonts w:ascii="Arial" w:hAnsi="Arial" w:cs="Arial"/>
        </w:rPr>
        <w:t xml:space="preserve">%, </w:t>
      </w:r>
      <w:r w:rsidR="00C86B7C" w:rsidRPr="00C86B7C">
        <w:rPr>
          <w:rFonts w:ascii="Arial" w:hAnsi="Arial" w:cs="Arial"/>
          <w:lang w:val="es-ES"/>
        </w:rPr>
        <w:t xml:space="preserve">como son las Participaciones e Incentivos en Ingresos Federales; Aportaciones Federales; Transferencias Federales por Convenio, y los Incentivos derivados de los Actos de Fiscalización. </w:t>
      </w:r>
    </w:p>
    <w:p w14:paraId="1312A8DC" w14:textId="77777777" w:rsidR="00E84C42" w:rsidRDefault="00E84C42" w:rsidP="00D60720">
      <w:pPr>
        <w:spacing w:line="360" w:lineRule="auto"/>
        <w:jc w:val="both"/>
        <w:rPr>
          <w:rFonts w:ascii="Arial" w:hAnsi="Arial" w:cs="Arial"/>
        </w:rPr>
      </w:pPr>
    </w:p>
    <w:tbl>
      <w:tblPr>
        <w:tblW w:w="9727" w:type="dxa"/>
        <w:tblInd w:w="-533" w:type="dxa"/>
        <w:tblCellMar>
          <w:left w:w="70" w:type="dxa"/>
          <w:right w:w="70" w:type="dxa"/>
        </w:tblCellMar>
        <w:tblLook w:val="04A0" w:firstRow="1" w:lastRow="0" w:firstColumn="1" w:lastColumn="0" w:noHBand="0" w:noVBand="1"/>
      </w:tblPr>
      <w:tblGrid>
        <w:gridCol w:w="5345"/>
        <w:gridCol w:w="1725"/>
        <w:gridCol w:w="1858"/>
        <w:gridCol w:w="819"/>
      </w:tblGrid>
      <w:tr w:rsidR="00575935" w:rsidRPr="00575935" w14:paraId="0DBBFCE8" w14:textId="77777777" w:rsidTr="00250219">
        <w:trPr>
          <w:trHeight w:val="515"/>
        </w:trPr>
        <w:tc>
          <w:tcPr>
            <w:tcW w:w="9727" w:type="dxa"/>
            <w:gridSpan w:val="4"/>
            <w:tcBorders>
              <w:top w:val="nil"/>
              <w:left w:val="nil"/>
              <w:bottom w:val="nil"/>
              <w:right w:val="nil"/>
            </w:tcBorders>
            <w:vAlign w:val="center"/>
            <w:hideMark/>
          </w:tcPr>
          <w:p w14:paraId="7C6A0772" w14:textId="77777777" w:rsidR="00575935" w:rsidRDefault="00575935" w:rsidP="00D60720">
            <w:pPr>
              <w:jc w:val="center"/>
              <w:rPr>
                <w:rFonts w:ascii="Arial" w:hAnsi="Arial" w:cs="Arial"/>
                <w:b/>
                <w:bCs/>
                <w:color w:val="000000"/>
                <w:sz w:val="20"/>
                <w:szCs w:val="20"/>
              </w:rPr>
            </w:pPr>
            <w:r w:rsidRPr="00575935">
              <w:rPr>
                <w:rFonts w:ascii="Arial" w:hAnsi="Arial" w:cs="Arial"/>
                <w:b/>
                <w:bCs/>
                <w:color w:val="000000"/>
                <w:sz w:val="20"/>
                <w:szCs w:val="20"/>
              </w:rPr>
              <w:t>Fuente de Financiamiento por Rubro de Ingresos, atendiendo al origen de los recursos 2026</w:t>
            </w:r>
          </w:p>
          <w:p w14:paraId="1D582B2D" w14:textId="77777777" w:rsidR="00250219" w:rsidRDefault="00250219" w:rsidP="00D60720">
            <w:pPr>
              <w:jc w:val="center"/>
              <w:rPr>
                <w:rFonts w:ascii="Arial" w:hAnsi="Arial" w:cs="Arial"/>
                <w:b/>
                <w:bCs/>
                <w:color w:val="000000"/>
                <w:sz w:val="20"/>
                <w:szCs w:val="20"/>
              </w:rPr>
            </w:pPr>
          </w:p>
          <w:p w14:paraId="0D40E5C9" w14:textId="77777777" w:rsidR="00250219" w:rsidRPr="00575935" w:rsidRDefault="00250219" w:rsidP="00D60720">
            <w:pPr>
              <w:jc w:val="center"/>
              <w:rPr>
                <w:rFonts w:ascii="Arial" w:hAnsi="Arial" w:cs="Arial"/>
                <w:b/>
                <w:bCs/>
                <w:color w:val="000000"/>
                <w:sz w:val="20"/>
                <w:szCs w:val="20"/>
              </w:rPr>
            </w:pPr>
          </w:p>
        </w:tc>
      </w:tr>
      <w:tr w:rsidR="00250219" w:rsidRPr="00575935" w14:paraId="516DDFB4" w14:textId="77777777" w:rsidTr="00250219">
        <w:trPr>
          <w:trHeight w:val="271"/>
        </w:trPr>
        <w:tc>
          <w:tcPr>
            <w:tcW w:w="5345" w:type="dxa"/>
            <w:tcBorders>
              <w:top w:val="nil"/>
              <w:left w:val="nil"/>
              <w:bottom w:val="nil"/>
              <w:right w:val="nil"/>
            </w:tcBorders>
            <w:noWrap/>
            <w:vAlign w:val="center"/>
            <w:hideMark/>
          </w:tcPr>
          <w:p w14:paraId="7FE1FC30"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Total (I+II)</w:t>
            </w:r>
          </w:p>
        </w:tc>
        <w:tc>
          <w:tcPr>
            <w:tcW w:w="1725" w:type="dxa"/>
            <w:tcBorders>
              <w:top w:val="nil"/>
              <w:left w:val="nil"/>
              <w:bottom w:val="nil"/>
              <w:right w:val="nil"/>
            </w:tcBorders>
            <w:noWrap/>
            <w:vAlign w:val="center"/>
            <w:hideMark/>
          </w:tcPr>
          <w:p w14:paraId="1B94A836" w14:textId="77777777" w:rsidR="00575935" w:rsidRPr="00575935" w:rsidRDefault="00575935" w:rsidP="00D60720">
            <w:pPr>
              <w:rPr>
                <w:rFonts w:ascii="Arial" w:hAnsi="Arial" w:cs="Arial"/>
                <w:color w:val="000000"/>
                <w:sz w:val="20"/>
                <w:szCs w:val="20"/>
              </w:rPr>
            </w:pPr>
          </w:p>
        </w:tc>
        <w:tc>
          <w:tcPr>
            <w:tcW w:w="1858" w:type="dxa"/>
            <w:tcBorders>
              <w:top w:val="nil"/>
              <w:left w:val="nil"/>
              <w:bottom w:val="single" w:sz="4" w:space="0" w:color="auto"/>
              <w:right w:val="nil"/>
            </w:tcBorders>
            <w:noWrap/>
            <w:vAlign w:val="center"/>
            <w:hideMark/>
          </w:tcPr>
          <w:p w14:paraId="3105F350"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107,884,611,261   </w:t>
            </w:r>
          </w:p>
        </w:tc>
        <w:tc>
          <w:tcPr>
            <w:tcW w:w="799" w:type="dxa"/>
            <w:tcBorders>
              <w:top w:val="nil"/>
              <w:left w:val="nil"/>
              <w:bottom w:val="single" w:sz="4" w:space="0" w:color="auto"/>
              <w:right w:val="nil"/>
            </w:tcBorders>
            <w:noWrap/>
            <w:vAlign w:val="center"/>
            <w:hideMark/>
          </w:tcPr>
          <w:p w14:paraId="4C5419C8" w14:textId="77777777" w:rsidR="00575935" w:rsidRPr="00575935" w:rsidRDefault="00575935" w:rsidP="00D60720">
            <w:pPr>
              <w:jc w:val="right"/>
              <w:rPr>
                <w:rFonts w:ascii="Arial" w:hAnsi="Arial" w:cs="Arial"/>
                <w:b/>
                <w:bCs/>
                <w:color w:val="000000"/>
                <w:sz w:val="20"/>
                <w:szCs w:val="20"/>
              </w:rPr>
            </w:pPr>
            <w:r w:rsidRPr="00575935">
              <w:rPr>
                <w:rFonts w:ascii="Arial" w:hAnsi="Arial" w:cs="Arial"/>
                <w:b/>
                <w:bCs/>
                <w:color w:val="000000"/>
                <w:sz w:val="20"/>
                <w:szCs w:val="20"/>
              </w:rPr>
              <w:t>100%</w:t>
            </w:r>
          </w:p>
        </w:tc>
      </w:tr>
      <w:tr w:rsidR="00575935" w:rsidRPr="00575935" w14:paraId="393DC7E1" w14:textId="77777777" w:rsidTr="00250219">
        <w:trPr>
          <w:trHeight w:val="271"/>
        </w:trPr>
        <w:tc>
          <w:tcPr>
            <w:tcW w:w="7070" w:type="dxa"/>
            <w:gridSpan w:val="2"/>
            <w:tcBorders>
              <w:top w:val="nil"/>
              <w:left w:val="nil"/>
              <w:bottom w:val="nil"/>
              <w:right w:val="nil"/>
            </w:tcBorders>
            <w:noWrap/>
            <w:vAlign w:val="center"/>
            <w:hideMark/>
          </w:tcPr>
          <w:p w14:paraId="7F2BD241"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I. Ingresos de Fuentes de Origen Local</w:t>
            </w:r>
          </w:p>
        </w:tc>
        <w:tc>
          <w:tcPr>
            <w:tcW w:w="1858" w:type="dxa"/>
            <w:tcBorders>
              <w:top w:val="nil"/>
              <w:left w:val="nil"/>
              <w:bottom w:val="nil"/>
              <w:right w:val="nil"/>
            </w:tcBorders>
            <w:noWrap/>
            <w:vAlign w:val="center"/>
            <w:hideMark/>
          </w:tcPr>
          <w:p w14:paraId="4F2E0DF6"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10,293,995,601   </w:t>
            </w:r>
          </w:p>
        </w:tc>
        <w:tc>
          <w:tcPr>
            <w:tcW w:w="799" w:type="dxa"/>
            <w:tcBorders>
              <w:top w:val="nil"/>
              <w:left w:val="nil"/>
              <w:bottom w:val="nil"/>
              <w:right w:val="nil"/>
            </w:tcBorders>
            <w:noWrap/>
            <w:vAlign w:val="center"/>
            <w:hideMark/>
          </w:tcPr>
          <w:p w14:paraId="34DA6412" w14:textId="77777777" w:rsidR="00575935" w:rsidRPr="00575935" w:rsidRDefault="00575935" w:rsidP="00D60720">
            <w:pPr>
              <w:jc w:val="right"/>
              <w:rPr>
                <w:rFonts w:ascii="Arial" w:hAnsi="Arial" w:cs="Arial"/>
                <w:b/>
                <w:bCs/>
                <w:color w:val="000000"/>
                <w:sz w:val="20"/>
                <w:szCs w:val="20"/>
              </w:rPr>
            </w:pPr>
            <w:r w:rsidRPr="00575935">
              <w:rPr>
                <w:rFonts w:ascii="Arial" w:hAnsi="Arial" w:cs="Arial"/>
                <w:b/>
                <w:bCs/>
                <w:color w:val="000000"/>
                <w:sz w:val="20"/>
                <w:szCs w:val="20"/>
              </w:rPr>
              <w:t>9.54%</w:t>
            </w:r>
          </w:p>
        </w:tc>
      </w:tr>
      <w:tr w:rsidR="00250219" w:rsidRPr="00575935" w14:paraId="74BA7465" w14:textId="77777777" w:rsidTr="00250219">
        <w:trPr>
          <w:trHeight w:val="271"/>
        </w:trPr>
        <w:tc>
          <w:tcPr>
            <w:tcW w:w="5345" w:type="dxa"/>
            <w:tcBorders>
              <w:top w:val="nil"/>
              <w:left w:val="nil"/>
              <w:bottom w:val="nil"/>
              <w:right w:val="nil"/>
            </w:tcBorders>
            <w:noWrap/>
            <w:vAlign w:val="center"/>
            <w:hideMark/>
          </w:tcPr>
          <w:p w14:paraId="1229C534"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Impuestos</w:t>
            </w:r>
          </w:p>
        </w:tc>
        <w:tc>
          <w:tcPr>
            <w:tcW w:w="1725" w:type="dxa"/>
            <w:tcBorders>
              <w:top w:val="nil"/>
              <w:left w:val="nil"/>
              <w:bottom w:val="nil"/>
              <w:right w:val="nil"/>
            </w:tcBorders>
            <w:noWrap/>
            <w:vAlign w:val="center"/>
            <w:hideMark/>
          </w:tcPr>
          <w:p w14:paraId="677F13C9"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5,363,467,128   </w:t>
            </w:r>
          </w:p>
        </w:tc>
        <w:tc>
          <w:tcPr>
            <w:tcW w:w="1858" w:type="dxa"/>
            <w:tcBorders>
              <w:top w:val="nil"/>
              <w:left w:val="nil"/>
              <w:bottom w:val="nil"/>
              <w:right w:val="nil"/>
            </w:tcBorders>
            <w:noWrap/>
            <w:vAlign w:val="center"/>
            <w:hideMark/>
          </w:tcPr>
          <w:p w14:paraId="1126F331"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1E4C6B3B" w14:textId="77777777" w:rsidR="00575935" w:rsidRPr="00575935" w:rsidRDefault="00575935" w:rsidP="00D60720">
            <w:pPr>
              <w:rPr>
                <w:rFonts w:ascii="Arial" w:hAnsi="Arial" w:cs="Arial"/>
                <w:sz w:val="20"/>
                <w:szCs w:val="20"/>
              </w:rPr>
            </w:pPr>
          </w:p>
        </w:tc>
      </w:tr>
      <w:tr w:rsidR="00250219" w:rsidRPr="00575935" w14:paraId="17A014C3" w14:textId="77777777" w:rsidTr="00250219">
        <w:trPr>
          <w:trHeight w:val="271"/>
        </w:trPr>
        <w:tc>
          <w:tcPr>
            <w:tcW w:w="5345" w:type="dxa"/>
            <w:tcBorders>
              <w:top w:val="nil"/>
              <w:left w:val="nil"/>
              <w:bottom w:val="nil"/>
              <w:right w:val="nil"/>
            </w:tcBorders>
            <w:noWrap/>
            <w:vAlign w:val="center"/>
            <w:hideMark/>
          </w:tcPr>
          <w:p w14:paraId="30104F36"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Derechos</w:t>
            </w:r>
          </w:p>
        </w:tc>
        <w:tc>
          <w:tcPr>
            <w:tcW w:w="1725" w:type="dxa"/>
            <w:tcBorders>
              <w:top w:val="nil"/>
              <w:left w:val="nil"/>
              <w:bottom w:val="nil"/>
              <w:right w:val="nil"/>
            </w:tcBorders>
            <w:noWrap/>
            <w:vAlign w:val="center"/>
            <w:hideMark/>
          </w:tcPr>
          <w:p w14:paraId="7CBBA2A8"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3,938,125,785   </w:t>
            </w:r>
          </w:p>
        </w:tc>
        <w:tc>
          <w:tcPr>
            <w:tcW w:w="1858" w:type="dxa"/>
            <w:tcBorders>
              <w:top w:val="nil"/>
              <w:left w:val="nil"/>
              <w:bottom w:val="nil"/>
              <w:right w:val="nil"/>
            </w:tcBorders>
            <w:noWrap/>
            <w:vAlign w:val="center"/>
            <w:hideMark/>
          </w:tcPr>
          <w:p w14:paraId="455BF148"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73442082" w14:textId="77777777" w:rsidR="00575935" w:rsidRPr="00575935" w:rsidRDefault="00575935" w:rsidP="00D60720">
            <w:pPr>
              <w:rPr>
                <w:rFonts w:ascii="Arial" w:hAnsi="Arial" w:cs="Arial"/>
                <w:sz w:val="20"/>
                <w:szCs w:val="20"/>
              </w:rPr>
            </w:pPr>
          </w:p>
        </w:tc>
      </w:tr>
      <w:tr w:rsidR="00250219" w:rsidRPr="00575935" w14:paraId="21BF61B0" w14:textId="77777777" w:rsidTr="00250219">
        <w:trPr>
          <w:trHeight w:val="271"/>
        </w:trPr>
        <w:tc>
          <w:tcPr>
            <w:tcW w:w="5345" w:type="dxa"/>
            <w:tcBorders>
              <w:top w:val="nil"/>
              <w:left w:val="nil"/>
              <w:bottom w:val="nil"/>
              <w:right w:val="nil"/>
            </w:tcBorders>
            <w:noWrap/>
            <w:vAlign w:val="center"/>
            <w:hideMark/>
          </w:tcPr>
          <w:p w14:paraId="7349484A"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Productos</w:t>
            </w:r>
          </w:p>
        </w:tc>
        <w:tc>
          <w:tcPr>
            <w:tcW w:w="1725" w:type="dxa"/>
            <w:tcBorders>
              <w:top w:val="nil"/>
              <w:left w:val="nil"/>
              <w:bottom w:val="nil"/>
              <w:right w:val="nil"/>
            </w:tcBorders>
            <w:noWrap/>
            <w:vAlign w:val="center"/>
            <w:hideMark/>
          </w:tcPr>
          <w:p w14:paraId="5D673BB6"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252,299,274   </w:t>
            </w:r>
          </w:p>
        </w:tc>
        <w:tc>
          <w:tcPr>
            <w:tcW w:w="1858" w:type="dxa"/>
            <w:tcBorders>
              <w:top w:val="nil"/>
              <w:left w:val="nil"/>
              <w:bottom w:val="nil"/>
              <w:right w:val="nil"/>
            </w:tcBorders>
            <w:noWrap/>
            <w:vAlign w:val="center"/>
            <w:hideMark/>
          </w:tcPr>
          <w:p w14:paraId="5C6AA6A2"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028775D0" w14:textId="77777777" w:rsidR="00575935" w:rsidRPr="00575935" w:rsidRDefault="00575935" w:rsidP="00D60720">
            <w:pPr>
              <w:rPr>
                <w:rFonts w:ascii="Arial" w:hAnsi="Arial" w:cs="Arial"/>
                <w:sz w:val="20"/>
                <w:szCs w:val="20"/>
              </w:rPr>
            </w:pPr>
          </w:p>
        </w:tc>
      </w:tr>
      <w:tr w:rsidR="00250219" w:rsidRPr="00575935" w14:paraId="242C0467" w14:textId="77777777" w:rsidTr="00250219">
        <w:trPr>
          <w:trHeight w:val="271"/>
        </w:trPr>
        <w:tc>
          <w:tcPr>
            <w:tcW w:w="5345" w:type="dxa"/>
            <w:tcBorders>
              <w:top w:val="nil"/>
              <w:left w:val="nil"/>
              <w:bottom w:val="nil"/>
              <w:right w:val="nil"/>
            </w:tcBorders>
            <w:noWrap/>
            <w:vAlign w:val="center"/>
            <w:hideMark/>
          </w:tcPr>
          <w:p w14:paraId="46136E76"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Aprovechamientos</w:t>
            </w:r>
          </w:p>
        </w:tc>
        <w:tc>
          <w:tcPr>
            <w:tcW w:w="1725" w:type="dxa"/>
            <w:tcBorders>
              <w:top w:val="nil"/>
              <w:left w:val="nil"/>
              <w:bottom w:val="nil"/>
              <w:right w:val="nil"/>
            </w:tcBorders>
            <w:noWrap/>
            <w:vAlign w:val="center"/>
            <w:hideMark/>
          </w:tcPr>
          <w:p w14:paraId="72818752"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740,103,414   </w:t>
            </w:r>
          </w:p>
        </w:tc>
        <w:tc>
          <w:tcPr>
            <w:tcW w:w="1858" w:type="dxa"/>
            <w:tcBorders>
              <w:top w:val="nil"/>
              <w:left w:val="nil"/>
              <w:bottom w:val="nil"/>
              <w:right w:val="nil"/>
            </w:tcBorders>
            <w:noWrap/>
            <w:vAlign w:val="center"/>
            <w:hideMark/>
          </w:tcPr>
          <w:p w14:paraId="6E31488D"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73B93B7C" w14:textId="77777777" w:rsidR="00575935" w:rsidRPr="00575935" w:rsidRDefault="00575935" w:rsidP="00D60720">
            <w:pPr>
              <w:rPr>
                <w:rFonts w:ascii="Arial" w:hAnsi="Arial" w:cs="Arial"/>
                <w:sz w:val="20"/>
                <w:szCs w:val="20"/>
              </w:rPr>
            </w:pPr>
          </w:p>
        </w:tc>
      </w:tr>
      <w:tr w:rsidR="00250219" w:rsidRPr="00575935" w14:paraId="6828416F" w14:textId="77777777" w:rsidTr="00250219">
        <w:trPr>
          <w:trHeight w:val="829"/>
        </w:trPr>
        <w:tc>
          <w:tcPr>
            <w:tcW w:w="5345" w:type="dxa"/>
            <w:tcBorders>
              <w:top w:val="nil"/>
              <w:left w:val="nil"/>
              <w:bottom w:val="nil"/>
              <w:right w:val="nil"/>
            </w:tcBorders>
            <w:vAlign w:val="center"/>
            <w:hideMark/>
          </w:tcPr>
          <w:p w14:paraId="47B19CBD"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Ingresos por Venta de Bienes, Prestación de Servicios y Otros Ingresos</w:t>
            </w:r>
          </w:p>
        </w:tc>
        <w:tc>
          <w:tcPr>
            <w:tcW w:w="1725" w:type="dxa"/>
            <w:tcBorders>
              <w:top w:val="nil"/>
              <w:left w:val="nil"/>
              <w:bottom w:val="single" w:sz="8" w:space="0" w:color="auto"/>
              <w:right w:val="nil"/>
            </w:tcBorders>
            <w:noWrap/>
            <w:vAlign w:val="center"/>
            <w:hideMark/>
          </w:tcPr>
          <w:p w14:paraId="03D6D6C8"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     </w:t>
            </w:r>
          </w:p>
        </w:tc>
        <w:tc>
          <w:tcPr>
            <w:tcW w:w="1858" w:type="dxa"/>
            <w:tcBorders>
              <w:top w:val="nil"/>
              <w:left w:val="nil"/>
              <w:bottom w:val="nil"/>
              <w:right w:val="nil"/>
            </w:tcBorders>
            <w:noWrap/>
            <w:vAlign w:val="center"/>
            <w:hideMark/>
          </w:tcPr>
          <w:p w14:paraId="63FA5B25"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168785E4" w14:textId="77777777" w:rsidR="00575935" w:rsidRPr="00575935" w:rsidRDefault="00575935" w:rsidP="00D60720">
            <w:pPr>
              <w:rPr>
                <w:rFonts w:ascii="Arial" w:hAnsi="Arial" w:cs="Arial"/>
                <w:sz w:val="20"/>
                <w:szCs w:val="20"/>
              </w:rPr>
            </w:pPr>
          </w:p>
        </w:tc>
      </w:tr>
      <w:tr w:rsidR="00250219" w:rsidRPr="00575935" w14:paraId="2142B178" w14:textId="77777777" w:rsidTr="00250219">
        <w:trPr>
          <w:trHeight w:val="271"/>
        </w:trPr>
        <w:tc>
          <w:tcPr>
            <w:tcW w:w="5345" w:type="dxa"/>
            <w:tcBorders>
              <w:top w:val="nil"/>
              <w:left w:val="nil"/>
              <w:bottom w:val="nil"/>
              <w:right w:val="nil"/>
            </w:tcBorders>
            <w:noWrap/>
            <w:vAlign w:val="center"/>
            <w:hideMark/>
          </w:tcPr>
          <w:p w14:paraId="6B6335B5" w14:textId="77777777" w:rsidR="00575935" w:rsidRPr="00575935" w:rsidRDefault="00575935" w:rsidP="00D60720">
            <w:pPr>
              <w:rPr>
                <w:rFonts w:ascii="Arial" w:hAnsi="Arial" w:cs="Arial"/>
                <w:sz w:val="20"/>
                <w:szCs w:val="20"/>
              </w:rPr>
            </w:pPr>
          </w:p>
        </w:tc>
        <w:tc>
          <w:tcPr>
            <w:tcW w:w="1725" w:type="dxa"/>
            <w:tcBorders>
              <w:top w:val="nil"/>
              <w:left w:val="nil"/>
              <w:bottom w:val="nil"/>
              <w:right w:val="nil"/>
            </w:tcBorders>
            <w:noWrap/>
            <w:vAlign w:val="center"/>
            <w:hideMark/>
          </w:tcPr>
          <w:p w14:paraId="581060A8" w14:textId="77777777" w:rsidR="00575935" w:rsidRPr="00575935" w:rsidRDefault="00575935" w:rsidP="00D60720">
            <w:pPr>
              <w:rPr>
                <w:rFonts w:ascii="Arial" w:hAnsi="Arial" w:cs="Arial"/>
                <w:sz w:val="20"/>
                <w:szCs w:val="20"/>
              </w:rPr>
            </w:pPr>
          </w:p>
        </w:tc>
        <w:tc>
          <w:tcPr>
            <w:tcW w:w="1858" w:type="dxa"/>
            <w:tcBorders>
              <w:top w:val="nil"/>
              <w:left w:val="nil"/>
              <w:bottom w:val="nil"/>
              <w:right w:val="nil"/>
            </w:tcBorders>
            <w:noWrap/>
            <w:vAlign w:val="center"/>
            <w:hideMark/>
          </w:tcPr>
          <w:p w14:paraId="0758E946" w14:textId="77777777" w:rsidR="00575935" w:rsidRPr="00575935" w:rsidRDefault="00575935" w:rsidP="00D60720">
            <w:pPr>
              <w:rPr>
                <w:rFonts w:ascii="Arial" w:hAnsi="Arial" w:cs="Arial"/>
                <w:sz w:val="20"/>
                <w:szCs w:val="20"/>
              </w:rPr>
            </w:pPr>
          </w:p>
        </w:tc>
        <w:tc>
          <w:tcPr>
            <w:tcW w:w="799" w:type="dxa"/>
            <w:tcBorders>
              <w:top w:val="nil"/>
              <w:left w:val="nil"/>
              <w:bottom w:val="nil"/>
              <w:right w:val="nil"/>
            </w:tcBorders>
            <w:noWrap/>
            <w:vAlign w:val="center"/>
            <w:hideMark/>
          </w:tcPr>
          <w:p w14:paraId="78F9C68B" w14:textId="77777777" w:rsidR="00575935" w:rsidRPr="00575935" w:rsidRDefault="00575935" w:rsidP="00D60720">
            <w:pPr>
              <w:rPr>
                <w:rFonts w:ascii="Arial" w:hAnsi="Arial" w:cs="Arial"/>
                <w:sz w:val="20"/>
                <w:szCs w:val="20"/>
              </w:rPr>
            </w:pPr>
          </w:p>
        </w:tc>
      </w:tr>
      <w:tr w:rsidR="00575935" w:rsidRPr="00575935" w14:paraId="2AD6193F" w14:textId="77777777" w:rsidTr="00250219">
        <w:trPr>
          <w:trHeight w:val="271"/>
        </w:trPr>
        <w:tc>
          <w:tcPr>
            <w:tcW w:w="7070" w:type="dxa"/>
            <w:gridSpan w:val="2"/>
            <w:tcBorders>
              <w:top w:val="nil"/>
              <w:left w:val="nil"/>
              <w:bottom w:val="nil"/>
              <w:right w:val="nil"/>
            </w:tcBorders>
            <w:noWrap/>
            <w:vAlign w:val="center"/>
            <w:hideMark/>
          </w:tcPr>
          <w:p w14:paraId="169EFC86"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II. Ingresos de Fuentes de Origen Federal </w:t>
            </w:r>
          </w:p>
        </w:tc>
        <w:tc>
          <w:tcPr>
            <w:tcW w:w="1858" w:type="dxa"/>
            <w:tcBorders>
              <w:top w:val="nil"/>
              <w:left w:val="nil"/>
              <w:bottom w:val="single" w:sz="4" w:space="0" w:color="auto"/>
              <w:right w:val="nil"/>
            </w:tcBorders>
            <w:noWrap/>
            <w:vAlign w:val="center"/>
            <w:hideMark/>
          </w:tcPr>
          <w:p w14:paraId="6C4A4F6F"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97,590,615,660   </w:t>
            </w:r>
          </w:p>
        </w:tc>
        <w:tc>
          <w:tcPr>
            <w:tcW w:w="799" w:type="dxa"/>
            <w:tcBorders>
              <w:top w:val="nil"/>
              <w:left w:val="nil"/>
              <w:bottom w:val="single" w:sz="4" w:space="0" w:color="auto"/>
              <w:right w:val="nil"/>
            </w:tcBorders>
            <w:noWrap/>
            <w:vAlign w:val="center"/>
            <w:hideMark/>
          </w:tcPr>
          <w:p w14:paraId="79D63C59" w14:textId="77777777" w:rsidR="00575935" w:rsidRPr="00575935" w:rsidRDefault="00575935" w:rsidP="00D60720">
            <w:pPr>
              <w:jc w:val="right"/>
              <w:rPr>
                <w:rFonts w:ascii="Arial" w:hAnsi="Arial" w:cs="Arial"/>
                <w:b/>
                <w:bCs/>
                <w:color w:val="000000"/>
                <w:sz w:val="20"/>
                <w:szCs w:val="20"/>
              </w:rPr>
            </w:pPr>
            <w:r w:rsidRPr="00575935">
              <w:rPr>
                <w:rFonts w:ascii="Arial" w:hAnsi="Arial" w:cs="Arial"/>
                <w:b/>
                <w:bCs/>
                <w:color w:val="000000"/>
                <w:sz w:val="20"/>
                <w:szCs w:val="20"/>
              </w:rPr>
              <w:t>90.46%</w:t>
            </w:r>
          </w:p>
        </w:tc>
      </w:tr>
      <w:tr w:rsidR="00250219" w:rsidRPr="00575935" w14:paraId="5AB9CC96" w14:textId="77777777" w:rsidTr="00250219">
        <w:trPr>
          <w:trHeight w:val="271"/>
        </w:trPr>
        <w:tc>
          <w:tcPr>
            <w:tcW w:w="5345" w:type="dxa"/>
            <w:tcBorders>
              <w:top w:val="nil"/>
              <w:left w:val="nil"/>
              <w:bottom w:val="nil"/>
              <w:right w:val="nil"/>
            </w:tcBorders>
            <w:noWrap/>
            <w:vAlign w:val="center"/>
            <w:hideMark/>
          </w:tcPr>
          <w:p w14:paraId="7293438D"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Participaciones e Incentivos en Ingresos Federales</w:t>
            </w:r>
          </w:p>
        </w:tc>
        <w:tc>
          <w:tcPr>
            <w:tcW w:w="1725" w:type="dxa"/>
            <w:tcBorders>
              <w:top w:val="nil"/>
              <w:left w:val="nil"/>
              <w:bottom w:val="nil"/>
              <w:right w:val="nil"/>
            </w:tcBorders>
            <w:noWrap/>
            <w:vAlign w:val="center"/>
            <w:hideMark/>
          </w:tcPr>
          <w:p w14:paraId="169364DF"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45,889,658,218   </w:t>
            </w:r>
          </w:p>
        </w:tc>
        <w:tc>
          <w:tcPr>
            <w:tcW w:w="1858" w:type="dxa"/>
            <w:tcBorders>
              <w:top w:val="nil"/>
              <w:left w:val="nil"/>
              <w:bottom w:val="nil"/>
              <w:right w:val="nil"/>
            </w:tcBorders>
            <w:noWrap/>
            <w:vAlign w:val="center"/>
            <w:hideMark/>
          </w:tcPr>
          <w:p w14:paraId="2F91812D"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7C155DBB" w14:textId="77777777" w:rsidR="00575935" w:rsidRPr="00575935" w:rsidRDefault="00575935" w:rsidP="00D60720">
            <w:pPr>
              <w:rPr>
                <w:rFonts w:ascii="Arial" w:hAnsi="Arial" w:cs="Arial"/>
                <w:sz w:val="20"/>
                <w:szCs w:val="20"/>
              </w:rPr>
            </w:pPr>
          </w:p>
        </w:tc>
      </w:tr>
      <w:tr w:rsidR="00250219" w:rsidRPr="00575935" w14:paraId="655460F4" w14:textId="77777777" w:rsidTr="00250219">
        <w:trPr>
          <w:trHeight w:val="271"/>
        </w:trPr>
        <w:tc>
          <w:tcPr>
            <w:tcW w:w="5345" w:type="dxa"/>
            <w:tcBorders>
              <w:top w:val="nil"/>
              <w:left w:val="nil"/>
              <w:bottom w:val="nil"/>
              <w:right w:val="nil"/>
            </w:tcBorders>
            <w:noWrap/>
            <w:vAlign w:val="center"/>
            <w:hideMark/>
          </w:tcPr>
          <w:p w14:paraId="24EA87DC"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Fondos de Aportaciones Federales del Ramo 33</w:t>
            </w:r>
          </w:p>
        </w:tc>
        <w:tc>
          <w:tcPr>
            <w:tcW w:w="1725" w:type="dxa"/>
            <w:tcBorders>
              <w:top w:val="nil"/>
              <w:left w:val="nil"/>
              <w:bottom w:val="nil"/>
              <w:right w:val="nil"/>
            </w:tcBorders>
            <w:noWrap/>
            <w:vAlign w:val="center"/>
            <w:hideMark/>
          </w:tcPr>
          <w:p w14:paraId="546AD5F1"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42,853,474,373   </w:t>
            </w:r>
          </w:p>
        </w:tc>
        <w:tc>
          <w:tcPr>
            <w:tcW w:w="1858" w:type="dxa"/>
            <w:tcBorders>
              <w:top w:val="nil"/>
              <w:left w:val="nil"/>
              <w:bottom w:val="nil"/>
              <w:right w:val="nil"/>
            </w:tcBorders>
            <w:noWrap/>
            <w:vAlign w:val="center"/>
            <w:hideMark/>
          </w:tcPr>
          <w:p w14:paraId="219E6248"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542D34EE" w14:textId="77777777" w:rsidR="00575935" w:rsidRPr="00575935" w:rsidRDefault="00575935" w:rsidP="00D60720">
            <w:pPr>
              <w:rPr>
                <w:rFonts w:ascii="Arial" w:hAnsi="Arial" w:cs="Arial"/>
                <w:sz w:val="20"/>
                <w:szCs w:val="20"/>
              </w:rPr>
            </w:pPr>
          </w:p>
        </w:tc>
      </w:tr>
      <w:tr w:rsidR="00250219" w:rsidRPr="00575935" w14:paraId="518FDD59" w14:textId="77777777" w:rsidTr="00250219">
        <w:trPr>
          <w:trHeight w:val="271"/>
        </w:trPr>
        <w:tc>
          <w:tcPr>
            <w:tcW w:w="5345" w:type="dxa"/>
            <w:tcBorders>
              <w:top w:val="nil"/>
              <w:left w:val="nil"/>
              <w:bottom w:val="nil"/>
              <w:right w:val="nil"/>
            </w:tcBorders>
            <w:noWrap/>
            <w:vAlign w:val="center"/>
            <w:hideMark/>
          </w:tcPr>
          <w:p w14:paraId="71187051"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Transferencias Federales por Convenio</w:t>
            </w:r>
          </w:p>
        </w:tc>
        <w:tc>
          <w:tcPr>
            <w:tcW w:w="1725" w:type="dxa"/>
            <w:tcBorders>
              <w:top w:val="nil"/>
              <w:left w:val="nil"/>
              <w:bottom w:val="nil"/>
              <w:right w:val="nil"/>
            </w:tcBorders>
            <w:noWrap/>
            <w:vAlign w:val="center"/>
            <w:hideMark/>
          </w:tcPr>
          <w:p w14:paraId="5199C10C"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8,176,592,848   </w:t>
            </w:r>
          </w:p>
        </w:tc>
        <w:tc>
          <w:tcPr>
            <w:tcW w:w="1858" w:type="dxa"/>
            <w:tcBorders>
              <w:top w:val="nil"/>
              <w:left w:val="nil"/>
              <w:bottom w:val="nil"/>
              <w:right w:val="nil"/>
            </w:tcBorders>
            <w:noWrap/>
            <w:vAlign w:val="center"/>
            <w:hideMark/>
          </w:tcPr>
          <w:p w14:paraId="128FB950"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2EC4DE46" w14:textId="77777777" w:rsidR="00575935" w:rsidRPr="00575935" w:rsidRDefault="00575935" w:rsidP="00D60720">
            <w:pPr>
              <w:rPr>
                <w:rFonts w:ascii="Arial" w:hAnsi="Arial" w:cs="Arial"/>
                <w:sz w:val="20"/>
                <w:szCs w:val="20"/>
              </w:rPr>
            </w:pPr>
          </w:p>
        </w:tc>
      </w:tr>
      <w:tr w:rsidR="00250219" w:rsidRPr="00575935" w14:paraId="4D68837B" w14:textId="77777777" w:rsidTr="00250219">
        <w:trPr>
          <w:trHeight w:val="556"/>
        </w:trPr>
        <w:tc>
          <w:tcPr>
            <w:tcW w:w="5345" w:type="dxa"/>
            <w:tcBorders>
              <w:top w:val="nil"/>
              <w:left w:val="nil"/>
              <w:bottom w:val="nil"/>
              <w:right w:val="nil"/>
            </w:tcBorders>
            <w:vAlign w:val="center"/>
            <w:hideMark/>
          </w:tcPr>
          <w:p w14:paraId="172B88D5"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Incentivos derivados de Coordinación Fiscal</w:t>
            </w:r>
          </w:p>
        </w:tc>
        <w:tc>
          <w:tcPr>
            <w:tcW w:w="1725" w:type="dxa"/>
            <w:tcBorders>
              <w:top w:val="nil"/>
              <w:left w:val="nil"/>
              <w:bottom w:val="single" w:sz="8" w:space="0" w:color="auto"/>
              <w:right w:val="nil"/>
            </w:tcBorders>
            <w:noWrap/>
            <w:vAlign w:val="center"/>
            <w:hideMark/>
          </w:tcPr>
          <w:p w14:paraId="7C2D23A0" w14:textId="77777777" w:rsidR="00575935" w:rsidRPr="00575935" w:rsidRDefault="00575935" w:rsidP="00D60720">
            <w:pPr>
              <w:rPr>
                <w:rFonts w:ascii="Arial" w:hAnsi="Arial" w:cs="Arial"/>
                <w:color w:val="000000"/>
                <w:sz w:val="20"/>
                <w:szCs w:val="20"/>
              </w:rPr>
            </w:pPr>
            <w:r w:rsidRPr="00575935">
              <w:rPr>
                <w:rFonts w:ascii="Arial" w:hAnsi="Arial" w:cs="Arial"/>
                <w:color w:val="000000"/>
                <w:sz w:val="20"/>
                <w:szCs w:val="20"/>
              </w:rPr>
              <w:t xml:space="preserve">    670,890,221   </w:t>
            </w:r>
          </w:p>
        </w:tc>
        <w:tc>
          <w:tcPr>
            <w:tcW w:w="1858" w:type="dxa"/>
            <w:tcBorders>
              <w:top w:val="nil"/>
              <w:left w:val="nil"/>
              <w:bottom w:val="nil"/>
              <w:right w:val="nil"/>
            </w:tcBorders>
            <w:noWrap/>
            <w:vAlign w:val="center"/>
            <w:hideMark/>
          </w:tcPr>
          <w:p w14:paraId="6ABC9F91" w14:textId="77777777" w:rsidR="00575935" w:rsidRPr="00575935" w:rsidRDefault="00575935" w:rsidP="00D60720">
            <w:pPr>
              <w:rPr>
                <w:rFonts w:ascii="Arial" w:hAnsi="Arial" w:cs="Arial"/>
                <w:color w:val="000000"/>
                <w:sz w:val="20"/>
                <w:szCs w:val="20"/>
              </w:rPr>
            </w:pPr>
          </w:p>
        </w:tc>
        <w:tc>
          <w:tcPr>
            <w:tcW w:w="799" w:type="dxa"/>
            <w:tcBorders>
              <w:top w:val="nil"/>
              <w:left w:val="nil"/>
              <w:bottom w:val="nil"/>
              <w:right w:val="nil"/>
            </w:tcBorders>
            <w:noWrap/>
            <w:vAlign w:val="center"/>
            <w:hideMark/>
          </w:tcPr>
          <w:p w14:paraId="614273FC" w14:textId="77777777" w:rsidR="00575935" w:rsidRPr="00575935" w:rsidRDefault="00575935" w:rsidP="00D60720">
            <w:pPr>
              <w:rPr>
                <w:rFonts w:ascii="Arial" w:hAnsi="Arial" w:cs="Arial"/>
                <w:sz w:val="20"/>
                <w:szCs w:val="20"/>
              </w:rPr>
            </w:pPr>
          </w:p>
        </w:tc>
      </w:tr>
    </w:tbl>
    <w:p w14:paraId="1791D028" w14:textId="77777777" w:rsidR="00250219" w:rsidRDefault="00250219" w:rsidP="00D60720">
      <w:pPr>
        <w:spacing w:line="360" w:lineRule="auto"/>
        <w:ind w:left="720"/>
        <w:jc w:val="both"/>
        <w:rPr>
          <w:rFonts w:ascii="Arial" w:hAnsi="Arial" w:cs="Arial"/>
          <w:sz w:val="20"/>
          <w:szCs w:val="20"/>
        </w:rPr>
      </w:pPr>
    </w:p>
    <w:p w14:paraId="2B2D0B38" w14:textId="372813F1" w:rsidR="00250219" w:rsidRPr="00EF70DE" w:rsidRDefault="00250219" w:rsidP="00D60720">
      <w:pPr>
        <w:spacing w:line="360" w:lineRule="auto"/>
        <w:ind w:left="720"/>
        <w:jc w:val="both"/>
        <w:rPr>
          <w:rFonts w:ascii="Arial" w:hAnsi="Arial" w:cs="Arial"/>
          <w:sz w:val="20"/>
          <w:szCs w:val="20"/>
        </w:rPr>
      </w:pPr>
      <w:r w:rsidRPr="00EF70DE">
        <w:rPr>
          <w:rFonts w:ascii="Arial" w:hAnsi="Arial" w:cs="Arial"/>
          <w:sz w:val="20"/>
          <w:szCs w:val="20"/>
        </w:rPr>
        <w:t>Fuente: Elaborado por la Subsecretaría de Finanzas de la Secretaría de Finanzas y Administración.</w:t>
      </w:r>
    </w:p>
    <w:p w14:paraId="41946E4E" w14:textId="77777777" w:rsidR="00250219" w:rsidRDefault="00250219" w:rsidP="00D60720">
      <w:pPr>
        <w:spacing w:line="360" w:lineRule="auto"/>
        <w:jc w:val="both"/>
        <w:rPr>
          <w:rFonts w:ascii="Arial" w:hAnsi="Arial" w:cs="Arial"/>
        </w:rPr>
      </w:pPr>
    </w:p>
    <w:p w14:paraId="7527B09D" w14:textId="7923138F" w:rsidR="00250219" w:rsidRDefault="00250219" w:rsidP="00D60720">
      <w:pPr>
        <w:spacing w:line="360" w:lineRule="auto"/>
        <w:jc w:val="both"/>
        <w:rPr>
          <w:rFonts w:ascii="Arial" w:hAnsi="Arial" w:cs="Arial"/>
        </w:rPr>
      </w:pPr>
      <w:r>
        <w:rPr>
          <w:rFonts w:ascii="Arial" w:hAnsi="Arial" w:cs="Arial"/>
        </w:rPr>
        <w:t xml:space="preserve">Por otro lado, en cuanto a las fuentes de financiamiento </w:t>
      </w:r>
      <w:r w:rsidRPr="00250219">
        <w:rPr>
          <w:rFonts w:ascii="Arial" w:hAnsi="Arial" w:cs="Arial"/>
        </w:rPr>
        <w:t>la proporción de los ingresos estimados para 202</w:t>
      </w:r>
      <w:r>
        <w:rPr>
          <w:rFonts w:ascii="Arial" w:hAnsi="Arial" w:cs="Arial"/>
        </w:rPr>
        <w:t>6</w:t>
      </w:r>
      <w:r w:rsidRPr="00250219">
        <w:rPr>
          <w:rFonts w:ascii="Arial" w:hAnsi="Arial" w:cs="Arial"/>
        </w:rPr>
        <w:t>, es del 52.</w:t>
      </w:r>
      <w:r>
        <w:rPr>
          <w:rFonts w:ascii="Arial" w:hAnsi="Arial" w:cs="Arial"/>
        </w:rPr>
        <w:t>7</w:t>
      </w:r>
      <w:r w:rsidRPr="00250219">
        <w:rPr>
          <w:rFonts w:ascii="Arial" w:hAnsi="Arial" w:cs="Arial"/>
        </w:rPr>
        <w:t xml:space="preserve">% </w:t>
      </w:r>
      <w:r>
        <w:rPr>
          <w:rFonts w:ascii="Arial" w:hAnsi="Arial" w:cs="Arial"/>
        </w:rPr>
        <w:t>correspondiente a</w:t>
      </w:r>
      <w:r w:rsidRPr="00250219">
        <w:rPr>
          <w:rFonts w:ascii="Arial" w:hAnsi="Arial" w:cs="Arial"/>
        </w:rPr>
        <w:t xml:space="preserve"> recursos de libre disposición; y del 47.91% </w:t>
      </w:r>
      <w:r>
        <w:rPr>
          <w:rFonts w:ascii="Arial" w:hAnsi="Arial" w:cs="Arial"/>
        </w:rPr>
        <w:t>corresponden a</w:t>
      </w:r>
      <w:r w:rsidRPr="00250219">
        <w:rPr>
          <w:rFonts w:ascii="Arial" w:hAnsi="Arial" w:cs="Arial"/>
        </w:rPr>
        <w:t xml:space="preserve"> recursos con un destino específico.</w:t>
      </w:r>
    </w:p>
    <w:p w14:paraId="3D98C03E" w14:textId="77777777" w:rsidR="00250219" w:rsidRDefault="00250219" w:rsidP="00D60720">
      <w:pPr>
        <w:spacing w:line="360" w:lineRule="auto"/>
        <w:jc w:val="both"/>
        <w:rPr>
          <w:rFonts w:ascii="Arial" w:hAnsi="Arial" w:cs="Arial"/>
        </w:rPr>
      </w:pPr>
    </w:p>
    <w:p w14:paraId="0DE4A018" w14:textId="76588950" w:rsidR="00250219" w:rsidRDefault="00250219" w:rsidP="00D60720">
      <w:pPr>
        <w:spacing w:line="360" w:lineRule="auto"/>
        <w:jc w:val="both"/>
        <w:rPr>
          <w:rFonts w:ascii="Arial" w:hAnsi="Arial" w:cs="Arial"/>
        </w:rPr>
      </w:pPr>
      <w:r w:rsidRPr="00250219">
        <w:rPr>
          <w:rFonts w:ascii="Arial" w:hAnsi="Arial" w:cs="Arial"/>
        </w:rPr>
        <w:t>El desglose de los ingresos de origen local que se puede observar en la siguiente tabla, corresponde a la estimación de los conceptos que se recaudan a través de las diferentes dependencias y unidades administrativas del Poder Ejecutivo del Estado:</w:t>
      </w:r>
    </w:p>
    <w:p w14:paraId="35AFB613" w14:textId="77777777" w:rsidR="00250219" w:rsidRDefault="00250219" w:rsidP="00D60720">
      <w:pPr>
        <w:spacing w:line="360" w:lineRule="auto"/>
        <w:jc w:val="both"/>
        <w:rPr>
          <w:rFonts w:ascii="Arial" w:hAnsi="Arial" w:cs="Arial"/>
        </w:rPr>
      </w:pPr>
    </w:p>
    <w:p w14:paraId="02D2AD1E" w14:textId="77777777" w:rsidR="00250219" w:rsidRPr="00E85C8C" w:rsidRDefault="00250219" w:rsidP="00D60720">
      <w:pPr>
        <w:spacing w:line="360" w:lineRule="auto"/>
        <w:jc w:val="center"/>
        <w:rPr>
          <w:rFonts w:ascii="Arial" w:hAnsi="Arial" w:cs="Arial"/>
          <w:b/>
          <w:bCs/>
          <w:sz w:val="20"/>
          <w:szCs w:val="20"/>
        </w:rPr>
      </w:pPr>
      <w:r w:rsidRPr="00E85C8C">
        <w:rPr>
          <w:rFonts w:ascii="Arial" w:hAnsi="Arial" w:cs="Arial"/>
          <w:b/>
          <w:bCs/>
          <w:sz w:val="20"/>
          <w:szCs w:val="20"/>
        </w:rPr>
        <w:t xml:space="preserve">Rubros de ingresos de origen estatal </w:t>
      </w:r>
    </w:p>
    <w:p w14:paraId="6747F6C4" w14:textId="77777777" w:rsidR="00250219" w:rsidRPr="00E85C8C" w:rsidRDefault="00250219" w:rsidP="00D60720">
      <w:pPr>
        <w:spacing w:line="360" w:lineRule="auto"/>
        <w:jc w:val="center"/>
        <w:rPr>
          <w:rFonts w:ascii="Arial" w:eastAsia="Arial" w:hAnsi="Arial" w:cs="Arial"/>
          <w:i/>
          <w:iCs/>
          <w:sz w:val="20"/>
          <w:szCs w:val="20"/>
        </w:rPr>
      </w:pPr>
      <w:r w:rsidRPr="00E85C8C">
        <w:rPr>
          <w:rFonts w:ascii="Arial" w:hAnsi="Arial" w:cs="Arial"/>
          <w:i/>
          <w:iCs/>
          <w:sz w:val="20"/>
          <w:szCs w:val="20"/>
        </w:rPr>
        <w:t>Pesos corrientes</w:t>
      </w:r>
    </w:p>
    <w:p w14:paraId="05BA04F7" w14:textId="77777777" w:rsidR="00250219" w:rsidRDefault="00250219" w:rsidP="00D60720">
      <w:pPr>
        <w:spacing w:line="360" w:lineRule="auto"/>
        <w:jc w:val="both"/>
        <w:rPr>
          <w:rFonts w:ascii="Arial" w:hAnsi="Arial" w:cs="Arial"/>
        </w:rPr>
      </w:pPr>
    </w:p>
    <w:tbl>
      <w:tblPr>
        <w:tblW w:w="10706" w:type="dxa"/>
        <w:tblInd w:w="-1028" w:type="dxa"/>
        <w:tblCellMar>
          <w:left w:w="70" w:type="dxa"/>
          <w:right w:w="70" w:type="dxa"/>
        </w:tblCellMar>
        <w:tblLook w:val="04A0" w:firstRow="1" w:lastRow="0" w:firstColumn="1" w:lastColumn="0" w:noHBand="0" w:noVBand="1"/>
      </w:tblPr>
      <w:tblGrid>
        <w:gridCol w:w="2829"/>
        <w:gridCol w:w="2309"/>
        <w:gridCol w:w="1895"/>
        <w:gridCol w:w="2532"/>
        <w:gridCol w:w="1141"/>
      </w:tblGrid>
      <w:tr w:rsidR="00250219" w:rsidRPr="00250219" w14:paraId="2CBFC20B" w14:textId="77777777" w:rsidTr="00A31089">
        <w:trPr>
          <w:trHeight w:val="218"/>
        </w:trPr>
        <w:tc>
          <w:tcPr>
            <w:tcW w:w="2829" w:type="dxa"/>
            <w:vMerge w:val="restart"/>
            <w:tcBorders>
              <w:top w:val="nil"/>
              <w:left w:val="nil"/>
              <w:bottom w:val="single" w:sz="4" w:space="0" w:color="000000"/>
              <w:right w:val="nil"/>
            </w:tcBorders>
            <w:shd w:val="clear" w:color="000000" w:fill="FFFFFF"/>
            <w:vAlign w:val="center"/>
            <w:hideMark/>
          </w:tcPr>
          <w:p w14:paraId="7A50E7BD" w14:textId="77777777" w:rsidR="00250219" w:rsidRPr="00250219" w:rsidRDefault="00250219" w:rsidP="00D60720">
            <w:pPr>
              <w:jc w:val="center"/>
              <w:rPr>
                <w:rFonts w:ascii="Arial" w:hAnsi="Arial" w:cs="Arial"/>
                <w:b/>
                <w:bCs/>
                <w:color w:val="000000"/>
                <w:sz w:val="20"/>
                <w:szCs w:val="20"/>
              </w:rPr>
            </w:pPr>
            <w:r w:rsidRPr="00250219">
              <w:rPr>
                <w:rFonts w:ascii="Arial" w:hAnsi="Arial" w:cs="Arial"/>
                <w:b/>
                <w:bCs/>
                <w:color w:val="000000"/>
                <w:sz w:val="20"/>
                <w:szCs w:val="20"/>
              </w:rPr>
              <w:t>Concepto</w:t>
            </w:r>
          </w:p>
        </w:tc>
        <w:tc>
          <w:tcPr>
            <w:tcW w:w="2309" w:type="dxa"/>
            <w:tcBorders>
              <w:top w:val="nil"/>
              <w:left w:val="nil"/>
              <w:bottom w:val="single" w:sz="4" w:space="0" w:color="auto"/>
              <w:right w:val="nil"/>
            </w:tcBorders>
            <w:shd w:val="clear" w:color="000000" w:fill="FFFFFF"/>
            <w:noWrap/>
            <w:vAlign w:val="center"/>
            <w:hideMark/>
          </w:tcPr>
          <w:p w14:paraId="0CD73B2B" w14:textId="77777777" w:rsidR="00250219" w:rsidRPr="00250219" w:rsidRDefault="00250219" w:rsidP="00D60720">
            <w:pPr>
              <w:jc w:val="center"/>
              <w:rPr>
                <w:rFonts w:ascii="Arial" w:hAnsi="Arial" w:cs="Arial"/>
                <w:b/>
                <w:bCs/>
                <w:color w:val="000000"/>
                <w:sz w:val="20"/>
                <w:szCs w:val="20"/>
              </w:rPr>
            </w:pPr>
            <w:r w:rsidRPr="00250219">
              <w:rPr>
                <w:rFonts w:ascii="Arial" w:hAnsi="Arial" w:cs="Arial"/>
                <w:b/>
                <w:bCs/>
                <w:color w:val="000000"/>
                <w:sz w:val="20"/>
                <w:szCs w:val="20"/>
              </w:rPr>
              <w:t>LIE</w:t>
            </w:r>
          </w:p>
        </w:tc>
        <w:tc>
          <w:tcPr>
            <w:tcW w:w="1895" w:type="dxa"/>
            <w:tcBorders>
              <w:top w:val="nil"/>
              <w:left w:val="nil"/>
              <w:bottom w:val="single" w:sz="4" w:space="0" w:color="auto"/>
              <w:right w:val="nil"/>
            </w:tcBorders>
            <w:shd w:val="clear" w:color="000000" w:fill="FFFFFF"/>
            <w:noWrap/>
            <w:vAlign w:val="center"/>
            <w:hideMark/>
          </w:tcPr>
          <w:p w14:paraId="38059DB0" w14:textId="77777777" w:rsidR="00250219" w:rsidRPr="00250219" w:rsidRDefault="00250219" w:rsidP="00D60720">
            <w:pPr>
              <w:jc w:val="center"/>
              <w:rPr>
                <w:rFonts w:ascii="Arial" w:hAnsi="Arial" w:cs="Arial"/>
                <w:b/>
                <w:bCs/>
                <w:color w:val="000000"/>
                <w:sz w:val="20"/>
                <w:szCs w:val="20"/>
              </w:rPr>
            </w:pPr>
            <w:r w:rsidRPr="00250219">
              <w:rPr>
                <w:rFonts w:ascii="Arial" w:hAnsi="Arial" w:cs="Arial"/>
                <w:b/>
                <w:bCs/>
                <w:color w:val="000000"/>
                <w:sz w:val="20"/>
                <w:szCs w:val="20"/>
              </w:rPr>
              <w:t xml:space="preserve">Estimación </w:t>
            </w:r>
          </w:p>
        </w:tc>
        <w:tc>
          <w:tcPr>
            <w:tcW w:w="2532" w:type="dxa"/>
            <w:tcBorders>
              <w:top w:val="nil"/>
              <w:left w:val="nil"/>
              <w:bottom w:val="single" w:sz="4" w:space="0" w:color="auto"/>
              <w:right w:val="nil"/>
            </w:tcBorders>
            <w:noWrap/>
            <w:vAlign w:val="center"/>
            <w:hideMark/>
          </w:tcPr>
          <w:p w14:paraId="4A7F4433" w14:textId="77777777" w:rsidR="00250219" w:rsidRPr="00250219" w:rsidRDefault="00250219" w:rsidP="00D60720">
            <w:pPr>
              <w:jc w:val="center"/>
              <w:rPr>
                <w:rFonts w:ascii="Arial" w:hAnsi="Arial" w:cs="Arial"/>
                <w:b/>
                <w:bCs/>
                <w:color w:val="000000"/>
                <w:sz w:val="20"/>
                <w:szCs w:val="20"/>
              </w:rPr>
            </w:pPr>
            <w:r w:rsidRPr="00250219">
              <w:rPr>
                <w:rFonts w:ascii="Arial" w:hAnsi="Arial" w:cs="Arial"/>
                <w:b/>
                <w:bCs/>
                <w:color w:val="000000"/>
                <w:sz w:val="20"/>
                <w:szCs w:val="20"/>
              </w:rPr>
              <w:t xml:space="preserve"> Diferencia </w:t>
            </w:r>
          </w:p>
        </w:tc>
        <w:tc>
          <w:tcPr>
            <w:tcW w:w="1141" w:type="dxa"/>
            <w:tcBorders>
              <w:top w:val="nil"/>
              <w:left w:val="nil"/>
              <w:bottom w:val="single" w:sz="4" w:space="0" w:color="auto"/>
              <w:right w:val="nil"/>
            </w:tcBorders>
            <w:noWrap/>
            <w:vAlign w:val="center"/>
            <w:hideMark/>
          </w:tcPr>
          <w:p w14:paraId="0F683B83" w14:textId="77777777" w:rsidR="00250219" w:rsidRPr="00250219" w:rsidRDefault="00250219" w:rsidP="00D60720">
            <w:pPr>
              <w:jc w:val="center"/>
              <w:rPr>
                <w:rFonts w:ascii="Arial" w:hAnsi="Arial" w:cs="Arial"/>
                <w:b/>
                <w:bCs/>
                <w:color w:val="000000"/>
                <w:sz w:val="20"/>
                <w:szCs w:val="20"/>
              </w:rPr>
            </w:pPr>
            <w:r w:rsidRPr="00250219">
              <w:rPr>
                <w:rFonts w:ascii="Arial" w:hAnsi="Arial" w:cs="Arial"/>
                <w:b/>
                <w:bCs/>
                <w:color w:val="000000"/>
                <w:sz w:val="20"/>
                <w:szCs w:val="20"/>
              </w:rPr>
              <w:t xml:space="preserve"> Diferencia </w:t>
            </w:r>
          </w:p>
        </w:tc>
      </w:tr>
      <w:tr w:rsidR="00250219" w:rsidRPr="00250219" w14:paraId="477FB9BC" w14:textId="77777777" w:rsidTr="00A31089">
        <w:trPr>
          <w:trHeight w:val="218"/>
        </w:trPr>
        <w:tc>
          <w:tcPr>
            <w:tcW w:w="2829" w:type="dxa"/>
            <w:vMerge/>
            <w:tcBorders>
              <w:top w:val="nil"/>
              <w:left w:val="nil"/>
              <w:bottom w:val="single" w:sz="4" w:space="0" w:color="000000"/>
              <w:right w:val="nil"/>
            </w:tcBorders>
            <w:vAlign w:val="center"/>
            <w:hideMark/>
          </w:tcPr>
          <w:p w14:paraId="5383F557" w14:textId="77777777" w:rsidR="00250219" w:rsidRPr="00250219" w:rsidRDefault="00250219" w:rsidP="00D60720">
            <w:pPr>
              <w:rPr>
                <w:rFonts w:ascii="Arial" w:hAnsi="Arial" w:cs="Arial"/>
                <w:b/>
                <w:bCs/>
                <w:color w:val="000000"/>
                <w:sz w:val="20"/>
                <w:szCs w:val="20"/>
              </w:rPr>
            </w:pPr>
          </w:p>
        </w:tc>
        <w:tc>
          <w:tcPr>
            <w:tcW w:w="2309" w:type="dxa"/>
            <w:tcBorders>
              <w:top w:val="nil"/>
              <w:left w:val="nil"/>
              <w:bottom w:val="single" w:sz="4" w:space="0" w:color="auto"/>
              <w:right w:val="nil"/>
            </w:tcBorders>
            <w:shd w:val="clear" w:color="000000" w:fill="FFFFFF"/>
            <w:noWrap/>
            <w:vAlign w:val="center"/>
            <w:hideMark/>
          </w:tcPr>
          <w:p w14:paraId="0867E02D"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2025</w:t>
            </w:r>
          </w:p>
        </w:tc>
        <w:tc>
          <w:tcPr>
            <w:tcW w:w="1895" w:type="dxa"/>
            <w:tcBorders>
              <w:top w:val="nil"/>
              <w:left w:val="nil"/>
              <w:bottom w:val="single" w:sz="4" w:space="0" w:color="auto"/>
              <w:right w:val="nil"/>
            </w:tcBorders>
            <w:shd w:val="clear" w:color="000000" w:fill="FFFFFF"/>
            <w:noWrap/>
            <w:vAlign w:val="center"/>
            <w:hideMark/>
          </w:tcPr>
          <w:p w14:paraId="140FE276"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2026</w:t>
            </w:r>
          </w:p>
        </w:tc>
        <w:tc>
          <w:tcPr>
            <w:tcW w:w="2532" w:type="dxa"/>
            <w:tcBorders>
              <w:top w:val="nil"/>
              <w:left w:val="nil"/>
              <w:bottom w:val="single" w:sz="4" w:space="0" w:color="auto"/>
              <w:right w:val="nil"/>
            </w:tcBorders>
            <w:noWrap/>
            <w:vAlign w:val="center"/>
            <w:hideMark/>
          </w:tcPr>
          <w:p w14:paraId="406F809D"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 </w:t>
            </w:r>
          </w:p>
        </w:tc>
        <w:tc>
          <w:tcPr>
            <w:tcW w:w="1141" w:type="dxa"/>
            <w:tcBorders>
              <w:top w:val="nil"/>
              <w:left w:val="nil"/>
              <w:bottom w:val="single" w:sz="4" w:space="0" w:color="auto"/>
              <w:right w:val="nil"/>
            </w:tcBorders>
            <w:noWrap/>
            <w:vAlign w:val="center"/>
            <w:hideMark/>
          </w:tcPr>
          <w:p w14:paraId="10A5E646"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 </w:t>
            </w:r>
          </w:p>
        </w:tc>
      </w:tr>
      <w:tr w:rsidR="00250219" w:rsidRPr="00250219" w14:paraId="5459623E" w14:textId="77777777" w:rsidTr="00A31089">
        <w:trPr>
          <w:trHeight w:val="218"/>
        </w:trPr>
        <w:tc>
          <w:tcPr>
            <w:tcW w:w="2829" w:type="dxa"/>
            <w:tcBorders>
              <w:top w:val="nil"/>
              <w:left w:val="nil"/>
              <w:bottom w:val="nil"/>
              <w:right w:val="nil"/>
            </w:tcBorders>
            <w:shd w:val="clear" w:color="000000" w:fill="FFFFFF"/>
            <w:vAlign w:val="center"/>
            <w:hideMark/>
          </w:tcPr>
          <w:p w14:paraId="0A0544E1" w14:textId="77777777" w:rsidR="00250219" w:rsidRPr="00250219" w:rsidRDefault="00250219" w:rsidP="00D60720">
            <w:pPr>
              <w:rPr>
                <w:rFonts w:ascii="Arial" w:hAnsi="Arial" w:cs="Arial"/>
                <w:color w:val="000000"/>
                <w:sz w:val="20"/>
                <w:szCs w:val="20"/>
              </w:rPr>
            </w:pPr>
            <w:r w:rsidRPr="00250219">
              <w:rPr>
                <w:rFonts w:ascii="Arial" w:hAnsi="Arial" w:cs="Arial"/>
                <w:color w:val="000000"/>
                <w:sz w:val="20"/>
                <w:szCs w:val="20"/>
              </w:rPr>
              <w:t>Impuestos</w:t>
            </w:r>
          </w:p>
        </w:tc>
        <w:tc>
          <w:tcPr>
            <w:tcW w:w="2309" w:type="dxa"/>
            <w:tcBorders>
              <w:top w:val="nil"/>
              <w:left w:val="nil"/>
              <w:bottom w:val="nil"/>
              <w:right w:val="nil"/>
            </w:tcBorders>
            <w:shd w:val="clear" w:color="000000" w:fill="FFFFFF"/>
            <w:noWrap/>
            <w:vAlign w:val="center"/>
            <w:hideMark/>
          </w:tcPr>
          <w:p w14:paraId="07302E94"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4,196,927,572   </w:t>
            </w:r>
          </w:p>
        </w:tc>
        <w:tc>
          <w:tcPr>
            <w:tcW w:w="1895" w:type="dxa"/>
            <w:tcBorders>
              <w:top w:val="nil"/>
              <w:left w:val="nil"/>
              <w:bottom w:val="nil"/>
              <w:right w:val="nil"/>
            </w:tcBorders>
            <w:shd w:val="clear" w:color="000000" w:fill="FFFFFF"/>
            <w:noWrap/>
            <w:vAlign w:val="center"/>
            <w:hideMark/>
          </w:tcPr>
          <w:p w14:paraId="5E779824"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5,363,467,128   </w:t>
            </w:r>
          </w:p>
        </w:tc>
        <w:tc>
          <w:tcPr>
            <w:tcW w:w="2532" w:type="dxa"/>
            <w:tcBorders>
              <w:top w:val="nil"/>
              <w:left w:val="nil"/>
              <w:bottom w:val="nil"/>
              <w:right w:val="nil"/>
            </w:tcBorders>
            <w:noWrap/>
            <w:vAlign w:val="center"/>
            <w:hideMark/>
          </w:tcPr>
          <w:p w14:paraId="2D1475A5"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1,166,539,556   </w:t>
            </w:r>
          </w:p>
        </w:tc>
        <w:tc>
          <w:tcPr>
            <w:tcW w:w="1141" w:type="dxa"/>
            <w:tcBorders>
              <w:top w:val="nil"/>
              <w:left w:val="nil"/>
              <w:bottom w:val="nil"/>
              <w:right w:val="nil"/>
            </w:tcBorders>
            <w:noWrap/>
            <w:vAlign w:val="center"/>
            <w:hideMark/>
          </w:tcPr>
          <w:p w14:paraId="04F2093F"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27.80</w:t>
            </w:r>
          </w:p>
        </w:tc>
      </w:tr>
      <w:tr w:rsidR="00250219" w:rsidRPr="00250219" w14:paraId="3AC793A8" w14:textId="77777777" w:rsidTr="00A31089">
        <w:trPr>
          <w:trHeight w:val="218"/>
        </w:trPr>
        <w:tc>
          <w:tcPr>
            <w:tcW w:w="2829" w:type="dxa"/>
            <w:tcBorders>
              <w:top w:val="nil"/>
              <w:left w:val="nil"/>
              <w:bottom w:val="nil"/>
              <w:right w:val="nil"/>
            </w:tcBorders>
            <w:shd w:val="clear" w:color="000000" w:fill="FFFFFF"/>
            <w:vAlign w:val="center"/>
            <w:hideMark/>
          </w:tcPr>
          <w:p w14:paraId="041AD2BF" w14:textId="77777777" w:rsidR="00250219" w:rsidRPr="00250219" w:rsidRDefault="00250219" w:rsidP="00D60720">
            <w:pPr>
              <w:rPr>
                <w:rFonts w:ascii="Arial" w:hAnsi="Arial" w:cs="Arial"/>
                <w:color w:val="000000"/>
                <w:sz w:val="20"/>
                <w:szCs w:val="20"/>
              </w:rPr>
            </w:pPr>
            <w:r w:rsidRPr="00250219">
              <w:rPr>
                <w:rFonts w:ascii="Arial" w:hAnsi="Arial" w:cs="Arial"/>
                <w:color w:val="000000"/>
                <w:sz w:val="20"/>
                <w:szCs w:val="20"/>
              </w:rPr>
              <w:t>Derechos</w:t>
            </w:r>
          </w:p>
        </w:tc>
        <w:tc>
          <w:tcPr>
            <w:tcW w:w="2309" w:type="dxa"/>
            <w:tcBorders>
              <w:top w:val="nil"/>
              <w:left w:val="nil"/>
              <w:bottom w:val="nil"/>
              <w:right w:val="nil"/>
            </w:tcBorders>
            <w:shd w:val="clear" w:color="000000" w:fill="FFFFFF"/>
            <w:noWrap/>
            <w:vAlign w:val="center"/>
            <w:hideMark/>
          </w:tcPr>
          <w:p w14:paraId="1413A449"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3,291,376,453   </w:t>
            </w:r>
          </w:p>
        </w:tc>
        <w:tc>
          <w:tcPr>
            <w:tcW w:w="1895" w:type="dxa"/>
            <w:tcBorders>
              <w:top w:val="nil"/>
              <w:left w:val="nil"/>
              <w:bottom w:val="nil"/>
              <w:right w:val="nil"/>
            </w:tcBorders>
            <w:shd w:val="clear" w:color="000000" w:fill="FFFFFF"/>
            <w:noWrap/>
            <w:vAlign w:val="center"/>
            <w:hideMark/>
          </w:tcPr>
          <w:p w14:paraId="50922F27"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3,938,125,785   </w:t>
            </w:r>
          </w:p>
        </w:tc>
        <w:tc>
          <w:tcPr>
            <w:tcW w:w="2532" w:type="dxa"/>
            <w:tcBorders>
              <w:top w:val="nil"/>
              <w:left w:val="nil"/>
              <w:bottom w:val="nil"/>
              <w:right w:val="nil"/>
            </w:tcBorders>
            <w:noWrap/>
            <w:vAlign w:val="center"/>
            <w:hideMark/>
          </w:tcPr>
          <w:p w14:paraId="1327D292"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646,749,332   </w:t>
            </w:r>
          </w:p>
        </w:tc>
        <w:tc>
          <w:tcPr>
            <w:tcW w:w="1141" w:type="dxa"/>
            <w:tcBorders>
              <w:top w:val="nil"/>
              <w:left w:val="nil"/>
              <w:bottom w:val="nil"/>
              <w:right w:val="nil"/>
            </w:tcBorders>
            <w:noWrap/>
            <w:vAlign w:val="center"/>
            <w:hideMark/>
          </w:tcPr>
          <w:p w14:paraId="79C5F7FD"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19.65</w:t>
            </w:r>
          </w:p>
        </w:tc>
      </w:tr>
      <w:tr w:rsidR="00250219" w:rsidRPr="00250219" w14:paraId="0E7459E8" w14:textId="77777777" w:rsidTr="00A31089">
        <w:trPr>
          <w:trHeight w:val="218"/>
        </w:trPr>
        <w:tc>
          <w:tcPr>
            <w:tcW w:w="2829" w:type="dxa"/>
            <w:tcBorders>
              <w:top w:val="nil"/>
              <w:left w:val="nil"/>
              <w:bottom w:val="nil"/>
              <w:right w:val="nil"/>
            </w:tcBorders>
            <w:shd w:val="clear" w:color="000000" w:fill="FFFFFF"/>
            <w:vAlign w:val="center"/>
            <w:hideMark/>
          </w:tcPr>
          <w:p w14:paraId="1578597E" w14:textId="77777777" w:rsidR="00250219" w:rsidRPr="00250219" w:rsidRDefault="00250219" w:rsidP="00D60720">
            <w:pPr>
              <w:rPr>
                <w:rFonts w:ascii="Arial" w:hAnsi="Arial" w:cs="Arial"/>
                <w:color w:val="000000"/>
                <w:sz w:val="20"/>
                <w:szCs w:val="20"/>
              </w:rPr>
            </w:pPr>
            <w:r w:rsidRPr="00250219">
              <w:rPr>
                <w:rFonts w:ascii="Arial" w:hAnsi="Arial" w:cs="Arial"/>
                <w:color w:val="000000"/>
                <w:sz w:val="20"/>
                <w:szCs w:val="20"/>
              </w:rPr>
              <w:t>Productos</w:t>
            </w:r>
          </w:p>
        </w:tc>
        <w:tc>
          <w:tcPr>
            <w:tcW w:w="2309" w:type="dxa"/>
            <w:tcBorders>
              <w:top w:val="nil"/>
              <w:left w:val="nil"/>
              <w:bottom w:val="nil"/>
              <w:right w:val="nil"/>
            </w:tcBorders>
            <w:shd w:val="clear" w:color="000000" w:fill="FFFFFF"/>
            <w:noWrap/>
            <w:vAlign w:val="center"/>
            <w:hideMark/>
          </w:tcPr>
          <w:p w14:paraId="450DF8DC"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261,477,681   </w:t>
            </w:r>
          </w:p>
        </w:tc>
        <w:tc>
          <w:tcPr>
            <w:tcW w:w="1895" w:type="dxa"/>
            <w:tcBorders>
              <w:top w:val="nil"/>
              <w:left w:val="nil"/>
              <w:bottom w:val="nil"/>
              <w:right w:val="nil"/>
            </w:tcBorders>
            <w:shd w:val="clear" w:color="000000" w:fill="FFFFFF"/>
            <w:noWrap/>
            <w:vAlign w:val="center"/>
            <w:hideMark/>
          </w:tcPr>
          <w:p w14:paraId="4410F1B4"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252,299,274   </w:t>
            </w:r>
          </w:p>
        </w:tc>
        <w:tc>
          <w:tcPr>
            <w:tcW w:w="2532" w:type="dxa"/>
            <w:tcBorders>
              <w:top w:val="nil"/>
              <w:left w:val="nil"/>
              <w:bottom w:val="nil"/>
              <w:right w:val="nil"/>
            </w:tcBorders>
            <w:noWrap/>
            <w:vAlign w:val="center"/>
            <w:hideMark/>
          </w:tcPr>
          <w:p w14:paraId="591561CD"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9,178,407   </w:t>
            </w:r>
          </w:p>
        </w:tc>
        <w:tc>
          <w:tcPr>
            <w:tcW w:w="1141" w:type="dxa"/>
            <w:tcBorders>
              <w:top w:val="nil"/>
              <w:left w:val="nil"/>
              <w:bottom w:val="nil"/>
              <w:right w:val="nil"/>
            </w:tcBorders>
            <w:noWrap/>
            <w:vAlign w:val="center"/>
            <w:hideMark/>
          </w:tcPr>
          <w:p w14:paraId="2455E664"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-3.51</w:t>
            </w:r>
          </w:p>
        </w:tc>
      </w:tr>
      <w:tr w:rsidR="00250219" w:rsidRPr="00250219" w14:paraId="16CFEB49" w14:textId="77777777" w:rsidTr="00A31089">
        <w:trPr>
          <w:trHeight w:val="218"/>
        </w:trPr>
        <w:tc>
          <w:tcPr>
            <w:tcW w:w="2829" w:type="dxa"/>
            <w:tcBorders>
              <w:top w:val="nil"/>
              <w:left w:val="nil"/>
              <w:bottom w:val="nil"/>
              <w:right w:val="nil"/>
            </w:tcBorders>
            <w:shd w:val="clear" w:color="000000" w:fill="FFFFFF"/>
            <w:vAlign w:val="center"/>
            <w:hideMark/>
          </w:tcPr>
          <w:p w14:paraId="20A9C903" w14:textId="77777777" w:rsidR="00250219" w:rsidRPr="00250219" w:rsidRDefault="00250219" w:rsidP="00D60720">
            <w:pPr>
              <w:rPr>
                <w:rFonts w:ascii="Arial" w:hAnsi="Arial" w:cs="Arial"/>
                <w:color w:val="000000"/>
                <w:sz w:val="20"/>
                <w:szCs w:val="20"/>
              </w:rPr>
            </w:pPr>
            <w:r w:rsidRPr="00250219">
              <w:rPr>
                <w:rFonts w:ascii="Arial" w:hAnsi="Arial" w:cs="Arial"/>
                <w:color w:val="000000"/>
                <w:sz w:val="20"/>
                <w:szCs w:val="20"/>
              </w:rPr>
              <w:t>Aprovechamientos</w:t>
            </w:r>
          </w:p>
        </w:tc>
        <w:tc>
          <w:tcPr>
            <w:tcW w:w="2309" w:type="dxa"/>
            <w:tcBorders>
              <w:top w:val="nil"/>
              <w:left w:val="nil"/>
              <w:bottom w:val="nil"/>
              <w:right w:val="nil"/>
            </w:tcBorders>
            <w:shd w:val="clear" w:color="000000" w:fill="FFFFFF"/>
            <w:noWrap/>
            <w:vAlign w:val="center"/>
            <w:hideMark/>
          </w:tcPr>
          <w:p w14:paraId="2C91469E"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711,497,340   </w:t>
            </w:r>
          </w:p>
        </w:tc>
        <w:tc>
          <w:tcPr>
            <w:tcW w:w="1895" w:type="dxa"/>
            <w:tcBorders>
              <w:top w:val="nil"/>
              <w:left w:val="nil"/>
              <w:bottom w:val="nil"/>
              <w:right w:val="nil"/>
            </w:tcBorders>
            <w:shd w:val="clear" w:color="000000" w:fill="FFFFFF"/>
            <w:noWrap/>
            <w:vAlign w:val="center"/>
            <w:hideMark/>
          </w:tcPr>
          <w:p w14:paraId="5C4EDCA9"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740,103,414   </w:t>
            </w:r>
          </w:p>
        </w:tc>
        <w:tc>
          <w:tcPr>
            <w:tcW w:w="2532" w:type="dxa"/>
            <w:tcBorders>
              <w:top w:val="nil"/>
              <w:left w:val="nil"/>
              <w:bottom w:val="nil"/>
              <w:right w:val="nil"/>
            </w:tcBorders>
            <w:noWrap/>
            <w:vAlign w:val="center"/>
            <w:hideMark/>
          </w:tcPr>
          <w:p w14:paraId="58742140"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28,606,074   </w:t>
            </w:r>
          </w:p>
        </w:tc>
        <w:tc>
          <w:tcPr>
            <w:tcW w:w="1141" w:type="dxa"/>
            <w:tcBorders>
              <w:top w:val="nil"/>
              <w:left w:val="nil"/>
              <w:bottom w:val="nil"/>
              <w:right w:val="nil"/>
            </w:tcBorders>
            <w:noWrap/>
            <w:vAlign w:val="center"/>
            <w:hideMark/>
          </w:tcPr>
          <w:p w14:paraId="7A2C76A1"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4.02</w:t>
            </w:r>
          </w:p>
        </w:tc>
      </w:tr>
      <w:tr w:rsidR="00250219" w:rsidRPr="00250219" w14:paraId="3D094F87" w14:textId="77777777" w:rsidTr="00A31089">
        <w:trPr>
          <w:trHeight w:val="490"/>
        </w:trPr>
        <w:tc>
          <w:tcPr>
            <w:tcW w:w="2829" w:type="dxa"/>
            <w:tcBorders>
              <w:top w:val="nil"/>
              <w:left w:val="nil"/>
              <w:bottom w:val="single" w:sz="4" w:space="0" w:color="auto"/>
              <w:right w:val="nil"/>
            </w:tcBorders>
            <w:shd w:val="clear" w:color="000000" w:fill="FFFFFF"/>
            <w:vAlign w:val="center"/>
            <w:hideMark/>
          </w:tcPr>
          <w:p w14:paraId="41821F78" w14:textId="77777777" w:rsidR="00250219" w:rsidRPr="00250219" w:rsidRDefault="00250219" w:rsidP="00D60720">
            <w:pPr>
              <w:rPr>
                <w:rFonts w:ascii="Arial" w:hAnsi="Arial" w:cs="Arial"/>
                <w:color w:val="000000"/>
                <w:sz w:val="20"/>
                <w:szCs w:val="20"/>
              </w:rPr>
            </w:pPr>
            <w:r w:rsidRPr="00250219">
              <w:rPr>
                <w:rFonts w:ascii="Arial" w:hAnsi="Arial" w:cs="Arial"/>
                <w:color w:val="000000"/>
                <w:sz w:val="20"/>
                <w:szCs w:val="20"/>
              </w:rPr>
              <w:t>Ingresos por Venta de Bienes, Prestación de Servicios y Otros Ingresos</w:t>
            </w:r>
          </w:p>
        </w:tc>
        <w:tc>
          <w:tcPr>
            <w:tcW w:w="2309" w:type="dxa"/>
            <w:tcBorders>
              <w:top w:val="nil"/>
              <w:left w:val="nil"/>
              <w:bottom w:val="nil"/>
              <w:right w:val="nil"/>
            </w:tcBorders>
            <w:shd w:val="clear" w:color="000000" w:fill="FFFFFF"/>
            <w:noWrap/>
            <w:vAlign w:val="center"/>
            <w:hideMark/>
          </w:tcPr>
          <w:p w14:paraId="37FE112A"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34,670,114   </w:t>
            </w:r>
          </w:p>
        </w:tc>
        <w:tc>
          <w:tcPr>
            <w:tcW w:w="1895" w:type="dxa"/>
            <w:tcBorders>
              <w:top w:val="nil"/>
              <w:left w:val="nil"/>
              <w:bottom w:val="nil"/>
              <w:right w:val="nil"/>
            </w:tcBorders>
            <w:shd w:val="clear" w:color="000000" w:fill="FFFFFF"/>
            <w:noWrap/>
            <w:vAlign w:val="center"/>
            <w:hideMark/>
          </w:tcPr>
          <w:p w14:paraId="28E5588B"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     </w:t>
            </w:r>
          </w:p>
        </w:tc>
        <w:tc>
          <w:tcPr>
            <w:tcW w:w="2532" w:type="dxa"/>
            <w:tcBorders>
              <w:top w:val="nil"/>
              <w:left w:val="nil"/>
              <w:bottom w:val="nil"/>
              <w:right w:val="nil"/>
            </w:tcBorders>
            <w:noWrap/>
            <w:vAlign w:val="center"/>
            <w:hideMark/>
          </w:tcPr>
          <w:p w14:paraId="01828FA3"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 xml:space="preserve">-       34,670,114   </w:t>
            </w:r>
          </w:p>
        </w:tc>
        <w:tc>
          <w:tcPr>
            <w:tcW w:w="1141" w:type="dxa"/>
            <w:tcBorders>
              <w:top w:val="nil"/>
              <w:left w:val="nil"/>
              <w:bottom w:val="nil"/>
              <w:right w:val="nil"/>
            </w:tcBorders>
            <w:noWrap/>
            <w:vAlign w:val="center"/>
            <w:hideMark/>
          </w:tcPr>
          <w:p w14:paraId="08CD0A1A" w14:textId="77777777" w:rsidR="00250219" w:rsidRPr="00250219" w:rsidRDefault="00250219" w:rsidP="00D60720">
            <w:pPr>
              <w:jc w:val="center"/>
              <w:rPr>
                <w:rFonts w:ascii="Arial" w:hAnsi="Arial" w:cs="Arial"/>
                <w:color w:val="000000"/>
                <w:sz w:val="20"/>
                <w:szCs w:val="20"/>
              </w:rPr>
            </w:pPr>
            <w:r w:rsidRPr="00250219">
              <w:rPr>
                <w:rFonts w:ascii="Arial" w:hAnsi="Arial" w:cs="Arial"/>
                <w:color w:val="000000"/>
                <w:sz w:val="20"/>
                <w:szCs w:val="20"/>
              </w:rPr>
              <w:t>-100.00</w:t>
            </w:r>
          </w:p>
        </w:tc>
      </w:tr>
      <w:tr w:rsidR="00250219" w:rsidRPr="00250219" w14:paraId="72217D97" w14:textId="77777777" w:rsidTr="00A31089">
        <w:trPr>
          <w:trHeight w:val="218"/>
        </w:trPr>
        <w:tc>
          <w:tcPr>
            <w:tcW w:w="2829" w:type="dxa"/>
            <w:tcBorders>
              <w:top w:val="nil"/>
              <w:left w:val="nil"/>
              <w:bottom w:val="nil"/>
              <w:right w:val="nil"/>
            </w:tcBorders>
            <w:shd w:val="clear" w:color="000000" w:fill="FFFFFF"/>
            <w:vAlign w:val="center"/>
            <w:hideMark/>
          </w:tcPr>
          <w:p w14:paraId="293CC958" w14:textId="77777777" w:rsidR="00250219" w:rsidRPr="00250219" w:rsidRDefault="00250219" w:rsidP="00D60720">
            <w:pPr>
              <w:rPr>
                <w:rFonts w:ascii="Arial" w:hAnsi="Arial" w:cs="Arial"/>
                <w:color w:val="000000"/>
                <w:sz w:val="20"/>
                <w:szCs w:val="20"/>
              </w:rPr>
            </w:pPr>
            <w:r w:rsidRPr="00250219">
              <w:rPr>
                <w:rFonts w:ascii="Arial" w:hAnsi="Arial" w:cs="Arial"/>
                <w:color w:val="000000"/>
                <w:sz w:val="20"/>
                <w:szCs w:val="20"/>
              </w:rPr>
              <w:t xml:space="preserve"> Total </w:t>
            </w:r>
          </w:p>
        </w:tc>
        <w:tc>
          <w:tcPr>
            <w:tcW w:w="2309" w:type="dxa"/>
            <w:tcBorders>
              <w:top w:val="nil"/>
              <w:left w:val="nil"/>
              <w:bottom w:val="nil"/>
              <w:right w:val="nil"/>
            </w:tcBorders>
            <w:shd w:val="clear" w:color="000000" w:fill="FFFFFF"/>
            <w:noWrap/>
            <w:vAlign w:val="center"/>
            <w:hideMark/>
          </w:tcPr>
          <w:p w14:paraId="1C05084B" w14:textId="1BFD18AA" w:rsidR="00250219" w:rsidRPr="00250219" w:rsidRDefault="00250219" w:rsidP="00D60720">
            <w:pPr>
              <w:jc w:val="center"/>
              <w:rPr>
                <w:rFonts w:ascii="Arial" w:hAnsi="Arial" w:cs="Arial"/>
                <w:b/>
                <w:bCs/>
                <w:color w:val="000000"/>
                <w:sz w:val="20"/>
                <w:szCs w:val="20"/>
              </w:rPr>
            </w:pPr>
            <w:r w:rsidRPr="00250219">
              <w:rPr>
                <w:rFonts w:ascii="Arial" w:hAnsi="Arial" w:cs="Arial"/>
                <w:b/>
                <w:bCs/>
                <w:color w:val="000000"/>
                <w:sz w:val="20"/>
                <w:szCs w:val="20"/>
              </w:rPr>
              <w:t xml:space="preserve">  8,4</w:t>
            </w:r>
            <w:r w:rsidR="009C4D4C">
              <w:rPr>
                <w:rFonts w:ascii="Arial" w:hAnsi="Arial" w:cs="Arial"/>
                <w:b/>
                <w:bCs/>
                <w:color w:val="000000"/>
                <w:sz w:val="20"/>
                <w:szCs w:val="20"/>
              </w:rPr>
              <w:t>95</w:t>
            </w:r>
            <w:r w:rsidRPr="00250219">
              <w:rPr>
                <w:rFonts w:ascii="Arial" w:hAnsi="Arial" w:cs="Arial"/>
                <w:b/>
                <w:bCs/>
                <w:color w:val="000000"/>
                <w:sz w:val="20"/>
                <w:szCs w:val="20"/>
              </w:rPr>
              <w:t>,</w:t>
            </w:r>
            <w:r w:rsidR="009C4D4C">
              <w:rPr>
                <w:rFonts w:ascii="Arial" w:hAnsi="Arial" w:cs="Arial"/>
                <w:b/>
                <w:bCs/>
                <w:color w:val="000000"/>
                <w:sz w:val="20"/>
                <w:szCs w:val="20"/>
              </w:rPr>
              <w:t>949</w:t>
            </w:r>
            <w:r w:rsidRPr="00250219">
              <w:rPr>
                <w:rFonts w:ascii="Arial" w:hAnsi="Arial" w:cs="Arial"/>
                <w:b/>
                <w:bCs/>
                <w:color w:val="000000"/>
                <w:sz w:val="20"/>
                <w:szCs w:val="20"/>
              </w:rPr>
              <w:t>,</w:t>
            </w:r>
            <w:r w:rsidR="009C4D4C">
              <w:rPr>
                <w:rFonts w:ascii="Arial" w:hAnsi="Arial" w:cs="Arial"/>
                <w:b/>
                <w:bCs/>
                <w:color w:val="000000"/>
                <w:sz w:val="20"/>
                <w:szCs w:val="20"/>
              </w:rPr>
              <w:t>160</w:t>
            </w:r>
            <w:r w:rsidRPr="00250219">
              <w:rPr>
                <w:rFonts w:ascii="Arial" w:hAnsi="Arial" w:cs="Arial"/>
                <w:b/>
                <w:bCs/>
                <w:color w:val="000000"/>
                <w:sz w:val="20"/>
                <w:szCs w:val="20"/>
              </w:rPr>
              <w:t xml:space="preserve">   </w:t>
            </w:r>
          </w:p>
        </w:tc>
        <w:tc>
          <w:tcPr>
            <w:tcW w:w="1895" w:type="dxa"/>
            <w:tcBorders>
              <w:top w:val="nil"/>
              <w:left w:val="nil"/>
              <w:bottom w:val="nil"/>
              <w:right w:val="nil"/>
            </w:tcBorders>
            <w:shd w:val="clear" w:color="000000" w:fill="FFFFFF"/>
            <w:noWrap/>
            <w:vAlign w:val="center"/>
            <w:hideMark/>
          </w:tcPr>
          <w:p w14:paraId="081BD820" w14:textId="77777777" w:rsidR="00250219" w:rsidRPr="00250219" w:rsidRDefault="00250219" w:rsidP="00D60720">
            <w:pPr>
              <w:jc w:val="center"/>
              <w:rPr>
                <w:rFonts w:ascii="Arial" w:hAnsi="Arial" w:cs="Arial"/>
                <w:b/>
                <w:bCs/>
                <w:color w:val="000000"/>
                <w:sz w:val="20"/>
                <w:szCs w:val="20"/>
              </w:rPr>
            </w:pPr>
            <w:r w:rsidRPr="00250219">
              <w:rPr>
                <w:rFonts w:ascii="Arial" w:hAnsi="Arial" w:cs="Arial"/>
                <w:b/>
                <w:bCs/>
                <w:color w:val="000000"/>
                <w:sz w:val="20"/>
                <w:szCs w:val="20"/>
              </w:rPr>
              <w:t xml:space="preserve">     10,293,995,601   </w:t>
            </w:r>
          </w:p>
        </w:tc>
        <w:tc>
          <w:tcPr>
            <w:tcW w:w="2532" w:type="dxa"/>
            <w:tcBorders>
              <w:top w:val="nil"/>
              <w:left w:val="nil"/>
              <w:bottom w:val="nil"/>
              <w:right w:val="nil"/>
            </w:tcBorders>
            <w:noWrap/>
            <w:vAlign w:val="center"/>
            <w:hideMark/>
          </w:tcPr>
          <w:p w14:paraId="2F3F03EA" w14:textId="5E5B0E10" w:rsidR="00250219" w:rsidRPr="00250219" w:rsidRDefault="00250219" w:rsidP="00D60720">
            <w:pPr>
              <w:jc w:val="center"/>
              <w:rPr>
                <w:rFonts w:ascii="Arial" w:hAnsi="Arial" w:cs="Arial"/>
                <w:b/>
                <w:bCs/>
                <w:color w:val="000000"/>
                <w:sz w:val="20"/>
                <w:szCs w:val="20"/>
              </w:rPr>
            </w:pPr>
            <w:r w:rsidRPr="00250219">
              <w:rPr>
                <w:rFonts w:ascii="Arial" w:hAnsi="Arial" w:cs="Arial"/>
                <w:b/>
                <w:bCs/>
                <w:color w:val="000000"/>
                <w:sz w:val="20"/>
                <w:szCs w:val="20"/>
              </w:rPr>
              <w:t xml:space="preserve">     1,</w:t>
            </w:r>
            <w:r w:rsidR="009C4D4C">
              <w:rPr>
                <w:rFonts w:ascii="Arial" w:hAnsi="Arial" w:cs="Arial"/>
                <w:b/>
                <w:bCs/>
                <w:color w:val="000000"/>
                <w:sz w:val="20"/>
                <w:szCs w:val="20"/>
              </w:rPr>
              <w:t>798,046,441</w:t>
            </w:r>
            <w:r w:rsidRPr="00250219">
              <w:rPr>
                <w:rFonts w:ascii="Arial" w:hAnsi="Arial" w:cs="Arial"/>
                <w:b/>
                <w:bCs/>
                <w:color w:val="000000"/>
                <w:sz w:val="20"/>
                <w:szCs w:val="20"/>
              </w:rPr>
              <w:t xml:space="preserve">   </w:t>
            </w:r>
          </w:p>
        </w:tc>
        <w:tc>
          <w:tcPr>
            <w:tcW w:w="1141" w:type="dxa"/>
            <w:tcBorders>
              <w:top w:val="nil"/>
              <w:left w:val="nil"/>
              <w:bottom w:val="nil"/>
              <w:right w:val="nil"/>
            </w:tcBorders>
            <w:noWrap/>
            <w:vAlign w:val="center"/>
            <w:hideMark/>
          </w:tcPr>
          <w:p w14:paraId="1F85FC01" w14:textId="2C9CE1C0" w:rsidR="00250219" w:rsidRPr="00250219" w:rsidRDefault="004816E9" w:rsidP="00D60720">
            <w:pPr>
              <w:jc w:val="center"/>
              <w:rPr>
                <w:rFonts w:ascii="Arial" w:hAnsi="Arial" w:cs="Arial"/>
                <w:b/>
                <w:bCs/>
                <w:color w:val="000000"/>
                <w:sz w:val="20"/>
                <w:szCs w:val="20"/>
              </w:rPr>
            </w:pPr>
            <w:r>
              <w:rPr>
                <w:rFonts w:ascii="Arial" w:hAnsi="Arial" w:cs="Arial"/>
                <w:b/>
                <w:bCs/>
                <w:color w:val="000000"/>
                <w:sz w:val="20"/>
                <w:szCs w:val="20"/>
              </w:rPr>
              <w:t>21.16</w:t>
            </w:r>
          </w:p>
        </w:tc>
      </w:tr>
      <w:tr w:rsidR="00250219" w:rsidRPr="00250219" w14:paraId="1FDA7293" w14:textId="77777777" w:rsidTr="00A31089">
        <w:trPr>
          <w:trHeight w:val="218"/>
        </w:trPr>
        <w:tc>
          <w:tcPr>
            <w:tcW w:w="2829" w:type="dxa"/>
            <w:tcBorders>
              <w:top w:val="nil"/>
              <w:left w:val="nil"/>
              <w:bottom w:val="nil"/>
              <w:right w:val="nil"/>
            </w:tcBorders>
            <w:noWrap/>
            <w:vAlign w:val="bottom"/>
            <w:hideMark/>
          </w:tcPr>
          <w:p w14:paraId="09DBF1C9" w14:textId="77777777" w:rsidR="00250219" w:rsidRPr="00250219" w:rsidRDefault="00250219" w:rsidP="00D60720">
            <w:pPr>
              <w:jc w:val="center"/>
              <w:rPr>
                <w:rFonts w:ascii="Gibson Book" w:hAnsi="Gibson Book" w:cs="Calibri"/>
                <w:b/>
                <w:bCs/>
                <w:color w:val="000000"/>
              </w:rPr>
            </w:pPr>
          </w:p>
        </w:tc>
        <w:tc>
          <w:tcPr>
            <w:tcW w:w="2309" w:type="dxa"/>
            <w:tcBorders>
              <w:top w:val="nil"/>
              <w:left w:val="nil"/>
              <w:bottom w:val="nil"/>
              <w:right w:val="nil"/>
            </w:tcBorders>
            <w:noWrap/>
            <w:vAlign w:val="bottom"/>
            <w:hideMark/>
          </w:tcPr>
          <w:p w14:paraId="55D75D19" w14:textId="77777777" w:rsidR="00250219" w:rsidRPr="00250219" w:rsidRDefault="00250219" w:rsidP="00D60720"/>
        </w:tc>
        <w:tc>
          <w:tcPr>
            <w:tcW w:w="1895" w:type="dxa"/>
            <w:tcBorders>
              <w:top w:val="nil"/>
              <w:left w:val="nil"/>
              <w:bottom w:val="nil"/>
              <w:right w:val="nil"/>
            </w:tcBorders>
            <w:noWrap/>
            <w:vAlign w:val="bottom"/>
            <w:hideMark/>
          </w:tcPr>
          <w:p w14:paraId="421B60F2" w14:textId="77777777" w:rsidR="00250219" w:rsidRPr="00250219" w:rsidRDefault="00250219" w:rsidP="00D60720"/>
        </w:tc>
        <w:tc>
          <w:tcPr>
            <w:tcW w:w="2532" w:type="dxa"/>
            <w:tcBorders>
              <w:top w:val="nil"/>
              <w:left w:val="nil"/>
              <w:bottom w:val="nil"/>
              <w:right w:val="nil"/>
            </w:tcBorders>
            <w:noWrap/>
            <w:vAlign w:val="bottom"/>
            <w:hideMark/>
          </w:tcPr>
          <w:p w14:paraId="2F630E17" w14:textId="77777777" w:rsidR="00250219" w:rsidRPr="00250219" w:rsidRDefault="00250219" w:rsidP="00D60720"/>
        </w:tc>
        <w:tc>
          <w:tcPr>
            <w:tcW w:w="1141" w:type="dxa"/>
            <w:tcBorders>
              <w:top w:val="nil"/>
              <w:left w:val="nil"/>
              <w:bottom w:val="nil"/>
              <w:right w:val="nil"/>
            </w:tcBorders>
            <w:noWrap/>
            <w:vAlign w:val="bottom"/>
            <w:hideMark/>
          </w:tcPr>
          <w:p w14:paraId="06204A99" w14:textId="77777777" w:rsidR="00250219" w:rsidRPr="00250219" w:rsidRDefault="00250219" w:rsidP="00D60720"/>
        </w:tc>
      </w:tr>
    </w:tbl>
    <w:p w14:paraId="7947DCB3" w14:textId="77777777" w:rsidR="00D84CE9" w:rsidRPr="00EF70DE" w:rsidRDefault="00D84CE9" w:rsidP="00D60720">
      <w:pPr>
        <w:spacing w:line="360" w:lineRule="auto"/>
        <w:ind w:left="720"/>
        <w:jc w:val="both"/>
        <w:rPr>
          <w:rFonts w:ascii="Arial" w:hAnsi="Arial" w:cs="Arial"/>
          <w:sz w:val="20"/>
          <w:szCs w:val="20"/>
        </w:rPr>
      </w:pPr>
      <w:r w:rsidRPr="00EF70DE">
        <w:rPr>
          <w:rFonts w:ascii="Arial" w:hAnsi="Arial" w:cs="Arial"/>
          <w:sz w:val="20"/>
          <w:szCs w:val="20"/>
        </w:rPr>
        <w:t>Fuente: Elaborado por la Subsecretaría de Finanzas de la Secretaría de Finanzas y Administración.</w:t>
      </w:r>
    </w:p>
    <w:p w14:paraId="6448493A" w14:textId="77777777" w:rsidR="00250219" w:rsidRDefault="00250219" w:rsidP="00D60720">
      <w:pPr>
        <w:spacing w:line="360" w:lineRule="auto"/>
        <w:jc w:val="both"/>
        <w:rPr>
          <w:rFonts w:ascii="Arial" w:hAnsi="Arial" w:cs="Arial"/>
        </w:rPr>
      </w:pPr>
    </w:p>
    <w:p w14:paraId="6131591B" w14:textId="2D0CEBCC" w:rsidR="00F212C7" w:rsidRPr="00F212C7" w:rsidRDefault="00F212C7" w:rsidP="00D60720">
      <w:pPr>
        <w:spacing w:line="360" w:lineRule="auto"/>
        <w:jc w:val="both"/>
        <w:rPr>
          <w:rFonts w:ascii="Arial" w:hAnsi="Arial" w:cs="Arial"/>
          <w:lang w:val="es-ES"/>
        </w:rPr>
      </w:pPr>
      <w:r w:rsidRPr="00F212C7">
        <w:rPr>
          <w:rFonts w:ascii="Arial" w:hAnsi="Arial" w:cs="Arial"/>
          <w:lang w:val="es-ES"/>
        </w:rPr>
        <w:t xml:space="preserve">Los montos de los diversos conceptos que integran </w:t>
      </w:r>
      <w:r>
        <w:rPr>
          <w:rFonts w:ascii="Arial" w:hAnsi="Arial" w:cs="Arial"/>
          <w:lang w:val="es-ES"/>
        </w:rPr>
        <w:t>los</w:t>
      </w:r>
      <w:r w:rsidRPr="00F212C7">
        <w:rPr>
          <w:rFonts w:ascii="Arial" w:hAnsi="Arial" w:cs="Arial"/>
          <w:lang w:val="es-ES"/>
        </w:rPr>
        <w:t xml:space="preserve"> ingresos </w:t>
      </w:r>
      <w:r>
        <w:rPr>
          <w:rFonts w:ascii="Arial" w:hAnsi="Arial" w:cs="Arial"/>
          <w:lang w:val="es-ES"/>
        </w:rPr>
        <w:t xml:space="preserve">de origen federal </w:t>
      </w:r>
      <w:r w:rsidRPr="00F212C7">
        <w:rPr>
          <w:rFonts w:ascii="Arial" w:hAnsi="Arial" w:cs="Arial"/>
          <w:lang w:val="es-ES"/>
        </w:rPr>
        <w:t xml:space="preserve">se estiman en 97 mil 590 millones 615 mil 660 pesos, los que con respecto a lo estimado para el año 2025 por 90 mil 439 millones 525 mil 155 pesos, representan un aumento de </w:t>
      </w:r>
      <w:r w:rsidR="009C4D4C">
        <w:rPr>
          <w:rFonts w:ascii="Arial" w:hAnsi="Arial" w:cs="Arial"/>
          <w:lang w:val="es-ES"/>
        </w:rPr>
        <w:t>7</w:t>
      </w:r>
      <w:r w:rsidRPr="00F212C7">
        <w:rPr>
          <w:rFonts w:ascii="Arial" w:hAnsi="Arial" w:cs="Arial"/>
          <w:lang w:val="es-ES"/>
        </w:rPr>
        <w:t xml:space="preserve"> mil </w:t>
      </w:r>
      <w:r w:rsidR="009C4D4C">
        <w:rPr>
          <w:rFonts w:ascii="Arial" w:hAnsi="Arial" w:cs="Arial"/>
          <w:lang w:val="es-ES"/>
        </w:rPr>
        <w:t>151</w:t>
      </w:r>
      <w:r w:rsidRPr="00F212C7">
        <w:rPr>
          <w:rFonts w:ascii="Arial" w:hAnsi="Arial" w:cs="Arial"/>
          <w:lang w:val="es-ES"/>
        </w:rPr>
        <w:t xml:space="preserve"> millones, </w:t>
      </w:r>
      <w:r w:rsidR="009C4D4C">
        <w:rPr>
          <w:rFonts w:ascii="Arial" w:hAnsi="Arial" w:cs="Arial"/>
          <w:lang w:val="es-ES"/>
        </w:rPr>
        <w:t>90</w:t>
      </w:r>
      <w:r w:rsidRPr="00F212C7">
        <w:rPr>
          <w:rFonts w:ascii="Arial" w:hAnsi="Arial" w:cs="Arial"/>
          <w:lang w:val="es-ES"/>
        </w:rPr>
        <w:t xml:space="preserve"> mil </w:t>
      </w:r>
      <w:r w:rsidR="009C4D4C">
        <w:rPr>
          <w:rFonts w:ascii="Arial" w:hAnsi="Arial" w:cs="Arial"/>
          <w:lang w:val="es-ES"/>
        </w:rPr>
        <w:t>505</w:t>
      </w:r>
      <w:r w:rsidRPr="00F212C7">
        <w:rPr>
          <w:rFonts w:ascii="Arial" w:hAnsi="Arial" w:cs="Arial"/>
          <w:lang w:val="es-ES"/>
        </w:rPr>
        <w:t xml:space="preserve"> pesos, los que en términos nominales equivalen a un 7.91</w:t>
      </w:r>
      <w:r w:rsidR="00C03359">
        <w:rPr>
          <w:rFonts w:ascii="Arial" w:hAnsi="Arial" w:cs="Arial"/>
          <w:lang w:val="es-ES"/>
        </w:rPr>
        <w:t>%</w:t>
      </w:r>
      <w:r w:rsidRPr="00F212C7">
        <w:rPr>
          <w:rFonts w:ascii="Arial" w:hAnsi="Arial" w:cs="Arial"/>
          <w:lang w:val="es-ES"/>
        </w:rPr>
        <w:t xml:space="preserve">, según se puede apreciar a continuación: </w:t>
      </w:r>
    </w:p>
    <w:p w14:paraId="39E9A396" w14:textId="77777777" w:rsidR="00F212C7" w:rsidRDefault="00F212C7" w:rsidP="00D60720">
      <w:pPr>
        <w:spacing w:line="360" w:lineRule="auto"/>
        <w:jc w:val="both"/>
        <w:rPr>
          <w:rFonts w:ascii="Arial" w:hAnsi="Arial" w:cs="Arial"/>
          <w:lang w:val="es-ES"/>
        </w:rPr>
      </w:pPr>
    </w:p>
    <w:p w14:paraId="6433047B" w14:textId="77777777" w:rsidR="00F212C7" w:rsidRPr="00F212C7" w:rsidRDefault="00F212C7" w:rsidP="00D60720">
      <w:pPr>
        <w:spacing w:line="360" w:lineRule="auto"/>
        <w:jc w:val="center"/>
        <w:rPr>
          <w:rFonts w:ascii="Arial" w:hAnsi="Arial" w:cs="Arial"/>
          <w:b/>
          <w:bCs/>
          <w:sz w:val="20"/>
          <w:szCs w:val="20"/>
        </w:rPr>
      </w:pPr>
      <w:r w:rsidRPr="00F212C7">
        <w:rPr>
          <w:rFonts w:ascii="Arial" w:hAnsi="Arial" w:cs="Arial"/>
          <w:b/>
          <w:bCs/>
          <w:sz w:val="20"/>
          <w:szCs w:val="20"/>
        </w:rPr>
        <w:t xml:space="preserve">Ingresos de origen Federal </w:t>
      </w:r>
    </w:p>
    <w:p w14:paraId="143FCCDC" w14:textId="77777777" w:rsidR="00F212C7" w:rsidRPr="00F212C7" w:rsidRDefault="00F212C7" w:rsidP="00D60720">
      <w:pPr>
        <w:spacing w:line="360" w:lineRule="auto"/>
        <w:jc w:val="center"/>
        <w:rPr>
          <w:rFonts w:ascii="Arial" w:eastAsia="Arial" w:hAnsi="Arial" w:cs="Arial"/>
          <w:i/>
          <w:iCs/>
          <w:sz w:val="20"/>
          <w:szCs w:val="20"/>
        </w:rPr>
      </w:pPr>
      <w:r w:rsidRPr="00F212C7">
        <w:rPr>
          <w:rFonts w:ascii="Arial" w:hAnsi="Arial" w:cs="Arial"/>
          <w:i/>
          <w:iCs/>
          <w:sz w:val="20"/>
          <w:szCs w:val="20"/>
        </w:rPr>
        <w:t>Pesos corrientes</w:t>
      </w:r>
    </w:p>
    <w:tbl>
      <w:tblPr>
        <w:tblW w:w="5541" w:type="pct"/>
        <w:jc w:val="center"/>
        <w:tblLayout w:type="fixed"/>
        <w:tblCellMar>
          <w:left w:w="70" w:type="dxa"/>
          <w:right w:w="70" w:type="dxa"/>
        </w:tblCellMar>
        <w:tblLook w:val="04A0" w:firstRow="1" w:lastRow="0" w:firstColumn="1" w:lastColumn="0" w:noHBand="0" w:noVBand="1"/>
      </w:tblPr>
      <w:tblGrid>
        <w:gridCol w:w="2703"/>
        <w:gridCol w:w="1859"/>
        <w:gridCol w:w="1857"/>
        <w:gridCol w:w="2014"/>
        <w:gridCol w:w="1361"/>
      </w:tblGrid>
      <w:tr w:rsidR="00F212C7" w:rsidRPr="00F212C7" w14:paraId="6A15BB7B" w14:textId="77777777" w:rsidTr="00F212C7">
        <w:trPr>
          <w:trHeight w:val="35"/>
          <w:jc w:val="center"/>
        </w:trPr>
        <w:tc>
          <w:tcPr>
            <w:tcW w:w="1380" w:type="pct"/>
            <w:vMerge w:val="restart"/>
            <w:tcBorders>
              <w:top w:val="nil"/>
              <w:left w:val="nil"/>
              <w:bottom w:val="single" w:sz="4" w:space="0" w:color="000000"/>
              <w:right w:val="nil"/>
            </w:tcBorders>
            <w:shd w:val="clear" w:color="000000" w:fill="FFFFFF"/>
            <w:vAlign w:val="center"/>
            <w:hideMark/>
          </w:tcPr>
          <w:p w14:paraId="6EA2D628" w14:textId="77777777" w:rsidR="00F212C7" w:rsidRPr="00F212C7" w:rsidRDefault="00F212C7" w:rsidP="00D60720">
            <w:pPr>
              <w:jc w:val="center"/>
              <w:rPr>
                <w:rFonts w:ascii="Arial" w:hAnsi="Arial" w:cs="Arial"/>
                <w:b/>
                <w:bCs/>
                <w:color w:val="000000"/>
                <w:sz w:val="18"/>
                <w:szCs w:val="18"/>
              </w:rPr>
            </w:pPr>
            <w:r w:rsidRPr="00F212C7">
              <w:rPr>
                <w:rFonts w:ascii="Arial" w:hAnsi="Arial" w:cs="Arial"/>
                <w:b/>
                <w:bCs/>
                <w:color w:val="000000"/>
                <w:sz w:val="18"/>
                <w:szCs w:val="18"/>
              </w:rPr>
              <w:t>Concepto</w:t>
            </w:r>
          </w:p>
        </w:tc>
        <w:tc>
          <w:tcPr>
            <w:tcW w:w="949" w:type="pct"/>
            <w:tcBorders>
              <w:top w:val="nil"/>
              <w:left w:val="nil"/>
              <w:bottom w:val="single" w:sz="4" w:space="0" w:color="auto"/>
              <w:right w:val="nil"/>
            </w:tcBorders>
            <w:shd w:val="clear" w:color="000000" w:fill="FFFFFF"/>
            <w:noWrap/>
            <w:vAlign w:val="center"/>
            <w:hideMark/>
          </w:tcPr>
          <w:p w14:paraId="77FEAC3F" w14:textId="77777777" w:rsidR="00F212C7" w:rsidRPr="00F212C7" w:rsidRDefault="00F212C7" w:rsidP="00D60720">
            <w:pPr>
              <w:jc w:val="center"/>
              <w:rPr>
                <w:rFonts w:ascii="Arial" w:hAnsi="Arial" w:cs="Arial"/>
                <w:b/>
                <w:bCs/>
                <w:color w:val="000000"/>
                <w:sz w:val="18"/>
                <w:szCs w:val="18"/>
              </w:rPr>
            </w:pPr>
            <w:r w:rsidRPr="00F212C7">
              <w:rPr>
                <w:rFonts w:ascii="Arial" w:hAnsi="Arial" w:cs="Arial"/>
                <w:b/>
                <w:bCs/>
                <w:color w:val="000000"/>
                <w:sz w:val="18"/>
                <w:szCs w:val="18"/>
              </w:rPr>
              <w:t>LIE</w:t>
            </w:r>
          </w:p>
        </w:tc>
        <w:tc>
          <w:tcPr>
            <w:tcW w:w="948" w:type="pct"/>
            <w:tcBorders>
              <w:top w:val="nil"/>
              <w:left w:val="nil"/>
              <w:bottom w:val="single" w:sz="4" w:space="0" w:color="auto"/>
              <w:right w:val="nil"/>
            </w:tcBorders>
            <w:shd w:val="clear" w:color="000000" w:fill="FFFFFF"/>
            <w:noWrap/>
            <w:vAlign w:val="center"/>
            <w:hideMark/>
          </w:tcPr>
          <w:p w14:paraId="0022E680" w14:textId="77777777" w:rsidR="00F212C7" w:rsidRPr="00F212C7" w:rsidRDefault="00F212C7" w:rsidP="00D60720">
            <w:pPr>
              <w:jc w:val="center"/>
              <w:rPr>
                <w:rFonts w:ascii="Arial" w:hAnsi="Arial" w:cs="Arial"/>
                <w:b/>
                <w:bCs/>
                <w:color w:val="000000"/>
                <w:sz w:val="18"/>
                <w:szCs w:val="18"/>
              </w:rPr>
            </w:pPr>
            <w:r w:rsidRPr="00F212C7">
              <w:rPr>
                <w:rFonts w:ascii="Arial" w:hAnsi="Arial" w:cs="Arial"/>
                <w:b/>
                <w:bCs/>
                <w:color w:val="000000"/>
                <w:sz w:val="18"/>
                <w:szCs w:val="18"/>
              </w:rPr>
              <w:t xml:space="preserve">Estimación </w:t>
            </w:r>
          </w:p>
        </w:tc>
        <w:tc>
          <w:tcPr>
            <w:tcW w:w="1028" w:type="pct"/>
            <w:tcBorders>
              <w:top w:val="nil"/>
              <w:left w:val="nil"/>
              <w:bottom w:val="single" w:sz="4" w:space="0" w:color="auto"/>
              <w:right w:val="nil"/>
            </w:tcBorders>
            <w:noWrap/>
            <w:vAlign w:val="center"/>
            <w:hideMark/>
          </w:tcPr>
          <w:p w14:paraId="55F1687B" w14:textId="77777777" w:rsidR="00F212C7" w:rsidRPr="00F212C7" w:rsidRDefault="00F212C7" w:rsidP="00D60720">
            <w:pPr>
              <w:jc w:val="center"/>
              <w:rPr>
                <w:rFonts w:ascii="Arial" w:hAnsi="Arial" w:cs="Arial"/>
                <w:b/>
                <w:bCs/>
                <w:color w:val="000000"/>
                <w:sz w:val="18"/>
                <w:szCs w:val="18"/>
              </w:rPr>
            </w:pPr>
            <w:r w:rsidRPr="00F212C7">
              <w:rPr>
                <w:rFonts w:ascii="Arial" w:hAnsi="Arial" w:cs="Arial"/>
                <w:b/>
                <w:bCs/>
                <w:color w:val="000000"/>
                <w:sz w:val="18"/>
                <w:szCs w:val="18"/>
              </w:rPr>
              <w:t xml:space="preserve"> Diferencia </w:t>
            </w:r>
          </w:p>
        </w:tc>
        <w:tc>
          <w:tcPr>
            <w:tcW w:w="695" w:type="pct"/>
            <w:tcBorders>
              <w:top w:val="nil"/>
              <w:left w:val="nil"/>
              <w:bottom w:val="single" w:sz="4" w:space="0" w:color="auto"/>
              <w:right w:val="nil"/>
            </w:tcBorders>
            <w:noWrap/>
            <w:vAlign w:val="center"/>
            <w:hideMark/>
          </w:tcPr>
          <w:p w14:paraId="2942286E" w14:textId="77777777" w:rsidR="00F212C7" w:rsidRPr="00F212C7" w:rsidRDefault="00F212C7" w:rsidP="00D60720">
            <w:pPr>
              <w:jc w:val="center"/>
              <w:rPr>
                <w:rFonts w:ascii="Arial" w:hAnsi="Arial" w:cs="Arial"/>
                <w:b/>
                <w:bCs/>
                <w:color w:val="000000"/>
                <w:sz w:val="18"/>
                <w:szCs w:val="18"/>
              </w:rPr>
            </w:pPr>
            <w:r w:rsidRPr="00F212C7">
              <w:rPr>
                <w:rFonts w:ascii="Arial" w:hAnsi="Arial" w:cs="Arial"/>
                <w:b/>
                <w:bCs/>
                <w:color w:val="000000"/>
                <w:sz w:val="18"/>
                <w:szCs w:val="18"/>
              </w:rPr>
              <w:t xml:space="preserve"> Diferencia </w:t>
            </w:r>
          </w:p>
        </w:tc>
      </w:tr>
      <w:tr w:rsidR="00F212C7" w:rsidRPr="00F212C7" w14:paraId="0D1A654D" w14:textId="77777777" w:rsidTr="00F212C7">
        <w:trPr>
          <w:trHeight w:val="35"/>
          <w:jc w:val="center"/>
        </w:trPr>
        <w:tc>
          <w:tcPr>
            <w:tcW w:w="1380" w:type="pct"/>
            <w:vMerge/>
            <w:tcBorders>
              <w:top w:val="nil"/>
              <w:left w:val="nil"/>
              <w:bottom w:val="single" w:sz="4" w:space="0" w:color="000000"/>
              <w:right w:val="nil"/>
            </w:tcBorders>
            <w:vAlign w:val="center"/>
            <w:hideMark/>
          </w:tcPr>
          <w:p w14:paraId="5EC64E60" w14:textId="77777777" w:rsidR="00F212C7" w:rsidRPr="00F212C7" w:rsidRDefault="00F212C7" w:rsidP="00D60720">
            <w:pPr>
              <w:rPr>
                <w:rFonts w:ascii="Arial" w:hAnsi="Arial" w:cs="Arial"/>
                <w:b/>
                <w:bCs/>
                <w:color w:val="000000"/>
                <w:sz w:val="18"/>
                <w:szCs w:val="18"/>
              </w:rPr>
            </w:pPr>
          </w:p>
        </w:tc>
        <w:tc>
          <w:tcPr>
            <w:tcW w:w="949" w:type="pct"/>
            <w:tcBorders>
              <w:top w:val="nil"/>
              <w:left w:val="nil"/>
              <w:bottom w:val="single" w:sz="4" w:space="0" w:color="auto"/>
              <w:right w:val="nil"/>
            </w:tcBorders>
            <w:shd w:val="clear" w:color="000000" w:fill="FFFFFF"/>
            <w:noWrap/>
            <w:vAlign w:val="center"/>
            <w:hideMark/>
          </w:tcPr>
          <w:p w14:paraId="78B999E7" w14:textId="77777777" w:rsidR="00F212C7" w:rsidRPr="00F212C7" w:rsidRDefault="00F212C7" w:rsidP="00D60720">
            <w:pPr>
              <w:jc w:val="center"/>
              <w:rPr>
                <w:rFonts w:ascii="Arial" w:hAnsi="Arial" w:cs="Arial"/>
                <w:color w:val="000000"/>
                <w:sz w:val="18"/>
                <w:szCs w:val="18"/>
              </w:rPr>
            </w:pPr>
            <w:r w:rsidRPr="00F212C7">
              <w:rPr>
                <w:rFonts w:ascii="Arial" w:hAnsi="Arial" w:cs="Arial"/>
                <w:color w:val="000000"/>
                <w:sz w:val="18"/>
                <w:szCs w:val="18"/>
              </w:rPr>
              <w:t>2025</w:t>
            </w:r>
          </w:p>
        </w:tc>
        <w:tc>
          <w:tcPr>
            <w:tcW w:w="948" w:type="pct"/>
            <w:tcBorders>
              <w:top w:val="nil"/>
              <w:left w:val="nil"/>
              <w:bottom w:val="single" w:sz="4" w:space="0" w:color="auto"/>
              <w:right w:val="nil"/>
            </w:tcBorders>
            <w:shd w:val="clear" w:color="000000" w:fill="FFFFFF"/>
            <w:noWrap/>
            <w:vAlign w:val="center"/>
            <w:hideMark/>
          </w:tcPr>
          <w:p w14:paraId="03523BBE" w14:textId="77777777" w:rsidR="00F212C7" w:rsidRPr="00F212C7" w:rsidRDefault="00F212C7" w:rsidP="00D60720">
            <w:pPr>
              <w:jc w:val="center"/>
              <w:rPr>
                <w:rFonts w:ascii="Arial" w:hAnsi="Arial" w:cs="Arial"/>
                <w:color w:val="000000"/>
                <w:sz w:val="18"/>
                <w:szCs w:val="18"/>
              </w:rPr>
            </w:pPr>
            <w:r w:rsidRPr="00F212C7">
              <w:rPr>
                <w:rFonts w:ascii="Arial" w:hAnsi="Arial" w:cs="Arial"/>
                <w:color w:val="000000"/>
                <w:sz w:val="18"/>
                <w:szCs w:val="18"/>
              </w:rPr>
              <w:t>2026</w:t>
            </w:r>
          </w:p>
        </w:tc>
        <w:tc>
          <w:tcPr>
            <w:tcW w:w="1028" w:type="pct"/>
            <w:tcBorders>
              <w:top w:val="nil"/>
              <w:left w:val="nil"/>
              <w:bottom w:val="single" w:sz="4" w:space="0" w:color="auto"/>
              <w:right w:val="nil"/>
            </w:tcBorders>
            <w:noWrap/>
            <w:vAlign w:val="center"/>
            <w:hideMark/>
          </w:tcPr>
          <w:p w14:paraId="04CA8F37" w14:textId="77777777" w:rsidR="00F212C7" w:rsidRPr="00F212C7" w:rsidRDefault="00F212C7" w:rsidP="00D60720">
            <w:pPr>
              <w:jc w:val="center"/>
              <w:rPr>
                <w:rFonts w:ascii="Arial" w:hAnsi="Arial" w:cs="Arial"/>
                <w:color w:val="000000"/>
                <w:sz w:val="18"/>
                <w:szCs w:val="18"/>
              </w:rPr>
            </w:pPr>
            <w:r w:rsidRPr="00F212C7">
              <w:rPr>
                <w:rFonts w:ascii="Arial" w:hAnsi="Arial" w:cs="Arial"/>
                <w:color w:val="000000"/>
                <w:sz w:val="18"/>
                <w:szCs w:val="18"/>
              </w:rPr>
              <w:t xml:space="preserve"> $ </w:t>
            </w:r>
          </w:p>
        </w:tc>
        <w:tc>
          <w:tcPr>
            <w:tcW w:w="695" w:type="pct"/>
            <w:tcBorders>
              <w:top w:val="nil"/>
              <w:left w:val="nil"/>
              <w:bottom w:val="single" w:sz="4" w:space="0" w:color="auto"/>
              <w:right w:val="nil"/>
            </w:tcBorders>
            <w:noWrap/>
            <w:vAlign w:val="center"/>
            <w:hideMark/>
          </w:tcPr>
          <w:p w14:paraId="69E4E462" w14:textId="77777777" w:rsidR="00F212C7" w:rsidRPr="00F212C7" w:rsidRDefault="00F212C7" w:rsidP="00D60720">
            <w:pPr>
              <w:jc w:val="center"/>
              <w:rPr>
                <w:rFonts w:ascii="Arial" w:hAnsi="Arial" w:cs="Arial"/>
                <w:color w:val="000000"/>
                <w:sz w:val="18"/>
                <w:szCs w:val="18"/>
              </w:rPr>
            </w:pPr>
            <w:r w:rsidRPr="00F212C7">
              <w:rPr>
                <w:rFonts w:ascii="Arial" w:hAnsi="Arial" w:cs="Arial"/>
                <w:color w:val="000000"/>
                <w:sz w:val="18"/>
                <w:szCs w:val="18"/>
              </w:rPr>
              <w:t xml:space="preserve"> % </w:t>
            </w:r>
          </w:p>
        </w:tc>
      </w:tr>
      <w:tr w:rsidR="00F212C7" w:rsidRPr="00F212C7" w14:paraId="2800D764" w14:textId="77777777" w:rsidTr="00F212C7">
        <w:trPr>
          <w:trHeight w:val="35"/>
          <w:jc w:val="center"/>
        </w:trPr>
        <w:tc>
          <w:tcPr>
            <w:tcW w:w="1380" w:type="pct"/>
            <w:tcBorders>
              <w:top w:val="nil"/>
              <w:left w:val="nil"/>
              <w:bottom w:val="nil"/>
              <w:right w:val="nil"/>
            </w:tcBorders>
            <w:shd w:val="clear" w:color="000000" w:fill="FFFFFF"/>
            <w:vAlign w:val="center"/>
            <w:hideMark/>
          </w:tcPr>
          <w:p w14:paraId="48AD0022" w14:textId="77777777" w:rsidR="00F212C7" w:rsidRPr="00F212C7" w:rsidRDefault="00F212C7" w:rsidP="00D60720">
            <w:pPr>
              <w:spacing w:line="276" w:lineRule="auto"/>
              <w:rPr>
                <w:rFonts w:ascii="Arial" w:hAnsi="Arial" w:cs="Arial"/>
                <w:color w:val="000000"/>
                <w:sz w:val="18"/>
                <w:szCs w:val="18"/>
              </w:rPr>
            </w:pPr>
            <w:r w:rsidRPr="00F212C7">
              <w:rPr>
                <w:rFonts w:ascii="Arial" w:hAnsi="Arial" w:cs="Arial"/>
                <w:color w:val="000000"/>
                <w:sz w:val="18"/>
                <w:szCs w:val="18"/>
              </w:rPr>
              <w:t>Participaciones e Incentivos en Ingresos Federales</w:t>
            </w:r>
          </w:p>
        </w:tc>
        <w:tc>
          <w:tcPr>
            <w:tcW w:w="949" w:type="pct"/>
            <w:tcBorders>
              <w:top w:val="nil"/>
              <w:left w:val="nil"/>
              <w:bottom w:val="nil"/>
              <w:right w:val="nil"/>
            </w:tcBorders>
            <w:shd w:val="clear" w:color="000000" w:fill="FFFFFF"/>
            <w:noWrap/>
            <w:vAlign w:val="center"/>
            <w:hideMark/>
          </w:tcPr>
          <w:p w14:paraId="2FEAE4EE"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42,519,322,631   </w:t>
            </w:r>
          </w:p>
        </w:tc>
        <w:tc>
          <w:tcPr>
            <w:tcW w:w="948" w:type="pct"/>
            <w:tcBorders>
              <w:top w:val="nil"/>
              <w:left w:val="nil"/>
              <w:bottom w:val="nil"/>
              <w:right w:val="nil"/>
            </w:tcBorders>
            <w:shd w:val="clear" w:color="000000" w:fill="FFFFFF"/>
            <w:noWrap/>
            <w:vAlign w:val="center"/>
            <w:hideMark/>
          </w:tcPr>
          <w:p w14:paraId="615D4A5D"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45,889,658,218   </w:t>
            </w:r>
          </w:p>
        </w:tc>
        <w:tc>
          <w:tcPr>
            <w:tcW w:w="1028" w:type="pct"/>
            <w:tcBorders>
              <w:top w:val="nil"/>
              <w:left w:val="nil"/>
              <w:bottom w:val="nil"/>
              <w:right w:val="nil"/>
            </w:tcBorders>
            <w:shd w:val="clear" w:color="000000" w:fill="FFFFFF"/>
            <w:noWrap/>
            <w:vAlign w:val="center"/>
            <w:hideMark/>
          </w:tcPr>
          <w:p w14:paraId="52FAABB3"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3,370,335,587   </w:t>
            </w:r>
          </w:p>
        </w:tc>
        <w:tc>
          <w:tcPr>
            <w:tcW w:w="695" w:type="pct"/>
            <w:tcBorders>
              <w:top w:val="nil"/>
              <w:left w:val="nil"/>
              <w:bottom w:val="nil"/>
              <w:right w:val="nil"/>
            </w:tcBorders>
            <w:noWrap/>
            <w:vAlign w:val="center"/>
            <w:hideMark/>
          </w:tcPr>
          <w:p w14:paraId="7599CAAA" w14:textId="77777777" w:rsidR="00F212C7" w:rsidRPr="00F212C7" w:rsidRDefault="00F212C7" w:rsidP="00D60720">
            <w:pPr>
              <w:spacing w:line="276" w:lineRule="auto"/>
              <w:jc w:val="center"/>
              <w:rPr>
                <w:rFonts w:ascii="Arial" w:hAnsi="Arial" w:cs="Arial"/>
                <w:color w:val="000000"/>
                <w:sz w:val="18"/>
                <w:szCs w:val="18"/>
              </w:rPr>
            </w:pPr>
            <w:r w:rsidRPr="00F212C7">
              <w:rPr>
                <w:rFonts w:ascii="Arial" w:hAnsi="Arial" w:cs="Arial"/>
                <w:color w:val="000000"/>
                <w:sz w:val="18"/>
                <w:szCs w:val="18"/>
              </w:rPr>
              <w:t>7.93</w:t>
            </w:r>
          </w:p>
        </w:tc>
      </w:tr>
      <w:tr w:rsidR="00F212C7" w:rsidRPr="00F212C7" w14:paraId="52491FA9" w14:textId="77777777" w:rsidTr="00F212C7">
        <w:trPr>
          <w:trHeight w:val="35"/>
          <w:jc w:val="center"/>
        </w:trPr>
        <w:tc>
          <w:tcPr>
            <w:tcW w:w="1380" w:type="pct"/>
            <w:tcBorders>
              <w:top w:val="nil"/>
              <w:left w:val="nil"/>
              <w:bottom w:val="nil"/>
              <w:right w:val="nil"/>
            </w:tcBorders>
            <w:shd w:val="clear" w:color="000000" w:fill="FFFFFF"/>
            <w:vAlign w:val="center"/>
            <w:hideMark/>
          </w:tcPr>
          <w:p w14:paraId="4353E614" w14:textId="77777777" w:rsidR="00F212C7" w:rsidRPr="00F212C7" w:rsidRDefault="00F212C7" w:rsidP="00D60720">
            <w:pPr>
              <w:spacing w:line="276" w:lineRule="auto"/>
              <w:rPr>
                <w:rFonts w:ascii="Arial" w:hAnsi="Arial" w:cs="Arial"/>
                <w:color w:val="000000"/>
                <w:sz w:val="18"/>
                <w:szCs w:val="18"/>
              </w:rPr>
            </w:pPr>
            <w:r w:rsidRPr="00F212C7">
              <w:rPr>
                <w:rFonts w:ascii="Arial" w:hAnsi="Arial" w:cs="Arial"/>
                <w:color w:val="000000"/>
                <w:sz w:val="18"/>
                <w:szCs w:val="18"/>
              </w:rPr>
              <w:t>Fondos de Aportaciones Federales del Ramo 33</w:t>
            </w:r>
          </w:p>
        </w:tc>
        <w:tc>
          <w:tcPr>
            <w:tcW w:w="949" w:type="pct"/>
            <w:tcBorders>
              <w:top w:val="nil"/>
              <w:left w:val="nil"/>
              <w:bottom w:val="nil"/>
              <w:right w:val="nil"/>
            </w:tcBorders>
            <w:shd w:val="clear" w:color="000000" w:fill="FFFFFF"/>
            <w:noWrap/>
            <w:vAlign w:val="center"/>
            <w:hideMark/>
          </w:tcPr>
          <w:p w14:paraId="04AE6370"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42,620,449,041   </w:t>
            </w:r>
          </w:p>
        </w:tc>
        <w:tc>
          <w:tcPr>
            <w:tcW w:w="948" w:type="pct"/>
            <w:tcBorders>
              <w:top w:val="nil"/>
              <w:left w:val="nil"/>
              <w:bottom w:val="nil"/>
              <w:right w:val="nil"/>
            </w:tcBorders>
            <w:shd w:val="clear" w:color="000000" w:fill="FFFFFF"/>
            <w:noWrap/>
            <w:vAlign w:val="center"/>
            <w:hideMark/>
          </w:tcPr>
          <w:p w14:paraId="31296ED2"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42,853,474,373   </w:t>
            </w:r>
          </w:p>
        </w:tc>
        <w:tc>
          <w:tcPr>
            <w:tcW w:w="1028" w:type="pct"/>
            <w:tcBorders>
              <w:top w:val="nil"/>
              <w:left w:val="nil"/>
              <w:bottom w:val="nil"/>
              <w:right w:val="nil"/>
            </w:tcBorders>
            <w:shd w:val="clear" w:color="000000" w:fill="FFFFFF"/>
            <w:noWrap/>
            <w:vAlign w:val="center"/>
            <w:hideMark/>
          </w:tcPr>
          <w:p w14:paraId="1D8D2B6F"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233,025,332   </w:t>
            </w:r>
          </w:p>
        </w:tc>
        <w:tc>
          <w:tcPr>
            <w:tcW w:w="695" w:type="pct"/>
            <w:tcBorders>
              <w:top w:val="nil"/>
              <w:left w:val="nil"/>
              <w:bottom w:val="nil"/>
              <w:right w:val="nil"/>
            </w:tcBorders>
            <w:noWrap/>
            <w:vAlign w:val="center"/>
            <w:hideMark/>
          </w:tcPr>
          <w:p w14:paraId="4BC7FD31" w14:textId="77777777" w:rsidR="00F212C7" w:rsidRPr="00F212C7" w:rsidRDefault="00F212C7" w:rsidP="00D60720">
            <w:pPr>
              <w:spacing w:line="276" w:lineRule="auto"/>
              <w:jc w:val="center"/>
              <w:rPr>
                <w:rFonts w:ascii="Arial" w:hAnsi="Arial" w:cs="Arial"/>
                <w:color w:val="000000"/>
                <w:sz w:val="18"/>
                <w:szCs w:val="18"/>
              </w:rPr>
            </w:pPr>
            <w:r w:rsidRPr="00F212C7">
              <w:rPr>
                <w:rFonts w:ascii="Arial" w:hAnsi="Arial" w:cs="Arial"/>
                <w:color w:val="000000"/>
                <w:sz w:val="18"/>
                <w:szCs w:val="18"/>
              </w:rPr>
              <w:t>0.55</w:t>
            </w:r>
          </w:p>
        </w:tc>
      </w:tr>
      <w:tr w:rsidR="00F212C7" w:rsidRPr="00F212C7" w14:paraId="583E2CAF" w14:textId="77777777" w:rsidTr="00F212C7">
        <w:trPr>
          <w:trHeight w:val="35"/>
          <w:jc w:val="center"/>
        </w:trPr>
        <w:tc>
          <w:tcPr>
            <w:tcW w:w="1380" w:type="pct"/>
            <w:tcBorders>
              <w:top w:val="nil"/>
              <w:left w:val="nil"/>
              <w:bottom w:val="nil"/>
              <w:right w:val="nil"/>
            </w:tcBorders>
            <w:shd w:val="clear" w:color="000000" w:fill="FFFFFF"/>
            <w:vAlign w:val="center"/>
            <w:hideMark/>
          </w:tcPr>
          <w:p w14:paraId="5A506E95" w14:textId="77777777" w:rsidR="00F212C7" w:rsidRPr="00F212C7" w:rsidRDefault="00F212C7" w:rsidP="00D60720">
            <w:pPr>
              <w:spacing w:line="276" w:lineRule="auto"/>
              <w:rPr>
                <w:rFonts w:ascii="Arial" w:hAnsi="Arial" w:cs="Arial"/>
                <w:color w:val="000000"/>
                <w:sz w:val="18"/>
                <w:szCs w:val="18"/>
              </w:rPr>
            </w:pPr>
            <w:r w:rsidRPr="00F212C7">
              <w:rPr>
                <w:rFonts w:ascii="Arial" w:hAnsi="Arial" w:cs="Arial"/>
                <w:color w:val="000000"/>
                <w:sz w:val="18"/>
                <w:szCs w:val="18"/>
              </w:rPr>
              <w:t>Transferencias Federales por Convenio</w:t>
            </w:r>
          </w:p>
        </w:tc>
        <w:tc>
          <w:tcPr>
            <w:tcW w:w="949" w:type="pct"/>
            <w:tcBorders>
              <w:top w:val="nil"/>
              <w:left w:val="nil"/>
              <w:bottom w:val="nil"/>
              <w:right w:val="nil"/>
            </w:tcBorders>
            <w:shd w:val="clear" w:color="000000" w:fill="FFFFFF"/>
            <w:noWrap/>
            <w:vAlign w:val="center"/>
            <w:hideMark/>
          </w:tcPr>
          <w:p w14:paraId="5AAF4250"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4,782,962,881   </w:t>
            </w:r>
          </w:p>
        </w:tc>
        <w:tc>
          <w:tcPr>
            <w:tcW w:w="948" w:type="pct"/>
            <w:tcBorders>
              <w:top w:val="nil"/>
              <w:left w:val="nil"/>
              <w:bottom w:val="nil"/>
              <w:right w:val="nil"/>
            </w:tcBorders>
            <w:shd w:val="clear" w:color="000000" w:fill="FFFFFF"/>
            <w:noWrap/>
            <w:vAlign w:val="center"/>
            <w:hideMark/>
          </w:tcPr>
          <w:p w14:paraId="108FDE64"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8,176,592,848   </w:t>
            </w:r>
          </w:p>
        </w:tc>
        <w:tc>
          <w:tcPr>
            <w:tcW w:w="1028" w:type="pct"/>
            <w:tcBorders>
              <w:top w:val="nil"/>
              <w:left w:val="nil"/>
              <w:bottom w:val="nil"/>
              <w:right w:val="nil"/>
            </w:tcBorders>
            <w:shd w:val="clear" w:color="000000" w:fill="FFFFFF"/>
            <w:noWrap/>
            <w:vAlign w:val="center"/>
            <w:hideMark/>
          </w:tcPr>
          <w:p w14:paraId="7A53684F"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3,393,629,967   </w:t>
            </w:r>
          </w:p>
        </w:tc>
        <w:tc>
          <w:tcPr>
            <w:tcW w:w="695" w:type="pct"/>
            <w:tcBorders>
              <w:top w:val="nil"/>
              <w:left w:val="nil"/>
              <w:bottom w:val="nil"/>
              <w:right w:val="nil"/>
            </w:tcBorders>
            <w:noWrap/>
            <w:vAlign w:val="center"/>
            <w:hideMark/>
          </w:tcPr>
          <w:p w14:paraId="6CD59190" w14:textId="77777777" w:rsidR="00F212C7" w:rsidRPr="00F212C7" w:rsidRDefault="00F212C7" w:rsidP="00D60720">
            <w:pPr>
              <w:spacing w:line="276" w:lineRule="auto"/>
              <w:jc w:val="center"/>
              <w:rPr>
                <w:rFonts w:ascii="Arial" w:hAnsi="Arial" w:cs="Arial"/>
                <w:color w:val="000000"/>
                <w:sz w:val="18"/>
                <w:szCs w:val="18"/>
              </w:rPr>
            </w:pPr>
            <w:r w:rsidRPr="00F212C7">
              <w:rPr>
                <w:rFonts w:ascii="Arial" w:hAnsi="Arial" w:cs="Arial"/>
                <w:color w:val="000000"/>
                <w:sz w:val="18"/>
                <w:szCs w:val="18"/>
              </w:rPr>
              <w:t>70.95</w:t>
            </w:r>
          </w:p>
        </w:tc>
      </w:tr>
      <w:tr w:rsidR="00F212C7" w:rsidRPr="00F212C7" w14:paraId="3894461B" w14:textId="77777777" w:rsidTr="00F212C7">
        <w:trPr>
          <w:trHeight w:val="35"/>
          <w:jc w:val="center"/>
        </w:trPr>
        <w:tc>
          <w:tcPr>
            <w:tcW w:w="1380" w:type="pct"/>
            <w:tcBorders>
              <w:top w:val="nil"/>
              <w:left w:val="nil"/>
              <w:bottom w:val="single" w:sz="4" w:space="0" w:color="auto"/>
              <w:right w:val="nil"/>
            </w:tcBorders>
            <w:shd w:val="clear" w:color="000000" w:fill="FFFFFF"/>
            <w:vAlign w:val="center"/>
            <w:hideMark/>
          </w:tcPr>
          <w:p w14:paraId="64451AA7" w14:textId="77777777" w:rsidR="00F212C7" w:rsidRPr="00F212C7" w:rsidRDefault="00F212C7" w:rsidP="00D60720">
            <w:pPr>
              <w:spacing w:line="276" w:lineRule="auto"/>
              <w:rPr>
                <w:rFonts w:ascii="Arial" w:hAnsi="Arial" w:cs="Arial"/>
                <w:color w:val="000000"/>
                <w:sz w:val="18"/>
                <w:szCs w:val="18"/>
              </w:rPr>
            </w:pPr>
            <w:r w:rsidRPr="00F212C7">
              <w:rPr>
                <w:rFonts w:ascii="Arial" w:hAnsi="Arial" w:cs="Arial"/>
                <w:color w:val="000000"/>
                <w:sz w:val="18"/>
                <w:szCs w:val="18"/>
              </w:rPr>
              <w:t>Incentivos derivados de Coordinación Fiscal</w:t>
            </w:r>
          </w:p>
        </w:tc>
        <w:tc>
          <w:tcPr>
            <w:tcW w:w="949" w:type="pct"/>
            <w:tcBorders>
              <w:top w:val="nil"/>
              <w:left w:val="nil"/>
              <w:bottom w:val="single" w:sz="4" w:space="0" w:color="auto"/>
              <w:right w:val="nil"/>
            </w:tcBorders>
            <w:shd w:val="clear" w:color="000000" w:fill="FFFFFF"/>
            <w:noWrap/>
            <w:vAlign w:val="center"/>
            <w:hideMark/>
          </w:tcPr>
          <w:p w14:paraId="4A1C53C8"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516,790,602   </w:t>
            </w:r>
          </w:p>
        </w:tc>
        <w:tc>
          <w:tcPr>
            <w:tcW w:w="948" w:type="pct"/>
            <w:tcBorders>
              <w:top w:val="nil"/>
              <w:left w:val="nil"/>
              <w:bottom w:val="single" w:sz="4" w:space="0" w:color="auto"/>
              <w:right w:val="nil"/>
            </w:tcBorders>
            <w:shd w:val="clear" w:color="000000" w:fill="FFFFFF"/>
            <w:noWrap/>
            <w:vAlign w:val="center"/>
            <w:hideMark/>
          </w:tcPr>
          <w:p w14:paraId="3BC6F4B3"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670,890,221   </w:t>
            </w:r>
          </w:p>
        </w:tc>
        <w:tc>
          <w:tcPr>
            <w:tcW w:w="1028" w:type="pct"/>
            <w:tcBorders>
              <w:top w:val="nil"/>
              <w:left w:val="nil"/>
              <w:bottom w:val="single" w:sz="4" w:space="0" w:color="auto"/>
              <w:right w:val="nil"/>
            </w:tcBorders>
            <w:shd w:val="clear" w:color="000000" w:fill="FFFFFF"/>
            <w:noWrap/>
            <w:vAlign w:val="center"/>
            <w:hideMark/>
          </w:tcPr>
          <w:p w14:paraId="5AA65716" w14:textId="77777777" w:rsidR="00F212C7" w:rsidRPr="00F212C7" w:rsidRDefault="00F212C7" w:rsidP="00D60720">
            <w:pPr>
              <w:spacing w:line="276" w:lineRule="auto"/>
              <w:jc w:val="right"/>
              <w:rPr>
                <w:rFonts w:ascii="Arial" w:hAnsi="Arial" w:cs="Arial"/>
                <w:color w:val="000000"/>
                <w:sz w:val="18"/>
                <w:szCs w:val="18"/>
              </w:rPr>
            </w:pPr>
            <w:r w:rsidRPr="00F212C7">
              <w:rPr>
                <w:rFonts w:ascii="Arial" w:hAnsi="Arial" w:cs="Arial"/>
                <w:color w:val="000000"/>
                <w:sz w:val="18"/>
                <w:szCs w:val="18"/>
              </w:rPr>
              <w:t xml:space="preserve">          154,099,619   </w:t>
            </w:r>
          </w:p>
        </w:tc>
        <w:tc>
          <w:tcPr>
            <w:tcW w:w="695" w:type="pct"/>
            <w:tcBorders>
              <w:top w:val="nil"/>
              <w:left w:val="nil"/>
              <w:bottom w:val="single" w:sz="4" w:space="0" w:color="auto"/>
              <w:right w:val="nil"/>
            </w:tcBorders>
            <w:noWrap/>
            <w:vAlign w:val="center"/>
            <w:hideMark/>
          </w:tcPr>
          <w:p w14:paraId="3A67BB96" w14:textId="77777777" w:rsidR="00F212C7" w:rsidRPr="00F212C7" w:rsidRDefault="00F212C7" w:rsidP="00D60720">
            <w:pPr>
              <w:spacing w:line="276" w:lineRule="auto"/>
              <w:jc w:val="center"/>
              <w:rPr>
                <w:rFonts w:ascii="Arial" w:hAnsi="Arial" w:cs="Arial"/>
                <w:color w:val="000000"/>
                <w:sz w:val="18"/>
                <w:szCs w:val="18"/>
              </w:rPr>
            </w:pPr>
            <w:r w:rsidRPr="00F212C7">
              <w:rPr>
                <w:rFonts w:ascii="Arial" w:hAnsi="Arial" w:cs="Arial"/>
                <w:color w:val="000000"/>
                <w:sz w:val="18"/>
                <w:szCs w:val="18"/>
              </w:rPr>
              <w:t>29.82</w:t>
            </w:r>
          </w:p>
        </w:tc>
      </w:tr>
      <w:tr w:rsidR="00F212C7" w:rsidRPr="00F212C7" w14:paraId="2A2B7156" w14:textId="77777777" w:rsidTr="00F212C7">
        <w:trPr>
          <w:trHeight w:val="35"/>
          <w:jc w:val="center"/>
        </w:trPr>
        <w:tc>
          <w:tcPr>
            <w:tcW w:w="1380" w:type="pct"/>
            <w:tcBorders>
              <w:top w:val="nil"/>
              <w:left w:val="nil"/>
              <w:bottom w:val="nil"/>
              <w:right w:val="nil"/>
            </w:tcBorders>
            <w:shd w:val="clear" w:color="000000" w:fill="FFFFFF"/>
            <w:vAlign w:val="center"/>
            <w:hideMark/>
          </w:tcPr>
          <w:p w14:paraId="2B5240C4" w14:textId="77777777" w:rsidR="00F212C7" w:rsidRPr="00F212C7" w:rsidRDefault="00F212C7" w:rsidP="00D60720">
            <w:pPr>
              <w:rPr>
                <w:rFonts w:ascii="Arial" w:hAnsi="Arial" w:cs="Arial"/>
                <w:color w:val="000000"/>
                <w:sz w:val="18"/>
                <w:szCs w:val="18"/>
              </w:rPr>
            </w:pPr>
            <w:r w:rsidRPr="00F212C7">
              <w:rPr>
                <w:rFonts w:ascii="Arial" w:hAnsi="Arial" w:cs="Arial"/>
                <w:color w:val="000000"/>
                <w:sz w:val="18"/>
                <w:szCs w:val="18"/>
              </w:rPr>
              <w:t xml:space="preserve"> Total </w:t>
            </w:r>
          </w:p>
        </w:tc>
        <w:tc>
          <w:tcPr>
            <w:tcW w:w="949" w:type="pct"/>
            <w:tcBorders>
              <w:top w:val="nil"/>
              <w:left w:val="nil"/>
              <w:bottom w:val="nil"/>
              <w:right w:val="nil"/>
            </w:tcBorders>
            <w:shd w:val="clear" w:color="000000" w:fill="FFFFFF"/>
            <w:noWrap/>
            <w:vAlign w:val="center"/>
            <w:hideMark/>
          </w:tcPr>
          <w:p w14:paraId="0D8B7992" w14:textId="77777777" w:rsidR="00F212C7" w:rsidRPr="00F212C7" w:rsidRDefault="00F212C7" w:rsidP="00D60720">
            <w:pPr>
              <w:spacing w:line="276" w:lineRule="auto"/>
              <w:jc w:val="right"/>
              <w:rPr>
                <w:rFonts w:ascii="Arial" w:hAnsi="Arial" w:cs="Arial"/>
                <w:b/>
                <w:bCs/>
                <w:color w:val="000000"/>
                <w:sz w:val="18"/>
                <w:szCs w:val="18"/>
              </w:rPr>
            </w:pPr>
            <w:r w:rsidRPr="00F212C7">
              <w:rPr>
                <w:rFonts w:ascii="Arial" w:hAnsi="Arial" w:cs="Arial"/>
                <w:b/>
                <w:bCs/>
                <w:color w:val="000000"/>
                <w:sz w:val="18"/>
                <w:szCs w:val="18"/>
              </w:rPr>
              <w:t xml:space="preserve">   90,439,525,155   </w:t>
            </w:r>
          </w:p>
        </w:tc>
        <w:tc>
          <w:tcPr>
            <w:tcW w:w="948" w:type="pct"/>
            <w:tcBorders>
              <w:top w:val="nil"/>
              <w:left w:val="nil"/>
              <w:bottom w:val="nil"/>
              <w:right w:val="nil"/>
            </w:tcBorders>
            <w:shd w:val="clear" w:color="000000" w:fill="FFFFFF"/>
            <w:noWrap/>
            <w:vAlign w:val="center"/>
            <w:hideMark/>
          </w:tcPr>
          <w:p w14:paraId="3AC38BC3" w14:textId="77777777" w:rsidR="00F212C7" w:rsidRPr="00F212C7" w:rsidRDefault="00F212C7" w:rsidP="00D60720">
            <w:pPr>
              <w:spacing w:line="276" w:lineRule="auto"/>
              <w:jc w:val="right"/>
              <w:rPr>
                <w:rFonts w:ascii="Arial" w:hAnsi="Arial" w:cs="Arial"/>
                <w:b/>
                <w:bCs/>
                <w:color w:val="000000"/>
                <w:sz w:val="18"/>
                <w:szCs w:val="18"/>
              </w:rPr>
            </w:pPr>
            <w:r w:rsidRPr="00F212C7">
              <w:rPr>
                <w:rFonts w:ascii="Arial" w:hAnsi="Arial" w:cs="Arial"/>
                <w:b/>
                <w:bCs/>
                <w:color w:val="000000"/>
                <w:sz w:val="18"/>
                <w:szCs w:val="18"/>
              </w:rPr>
              <w:t xml:space="preserve">   97,590,615,660   </w:t>
            </w:r>
          </w:p>
        </w:tc>
        <w:tc>
          <w:tcPr>
            <w:tcW w:w="1028" w:type="pct"/>
            <w:tcBorders>
              <w:top w:val="nil"/>
              <w:left w:val="nil"/>
              <w:bottom w:val="nil"/>
              <w:right w:val="nil"/>
            </w:tcBorders>
            <w:shd w:val="clear" w:color="000000" w:fill="FFFFFF"/>
            <w:noWrap/>
            <w:vAlign w:val="center"/>
            <w:hideMark/>
          </w:tcPr>
          <w:p w14:paraId="7AD59ABE" w14:textId="77777777" w:rsidR="00F212C7" w:rsidRPr="00F212C7" w:rsidRDefault="00F212C7" w:rsidP="00D60720">
            <w:pPr>
              <w:spacing w:line="276" w:lineRule="auto"/>
              <w:jc w:val="right"/>
              <w:rPr>
                <w:rFonts w:ascii="Arial" w:hAnsi="Arial" w:cs="Arial"/>
                <w:b/>
                <w:bCs/>
                <w:color w:val="000000"/>
                <w:sz w:val="18"/>
                <w:szCs w:val="18"/>
              </w:rPr>
            </w:pPr>
            <w:r w:rsidRPr="00F212C7">
              <w:rPr>
                <w:rFonts w:ascii="Arial" w:hAnsi="Arial" w:cs="Arial"/>
                <w:b/>
                <w:bCs/>
                <w:color w:val="000000"/>
                <w:sz w:val="18"/>
                <w:szCs w:val="18"/>
              </w:rPr>
              <w:t xml:space="preserve">       7,151,090,505   </w:t>
            </w:r>
          </w:p>
        </w:tc>
        <w:tc>
          <w:tcPr>
            <w:tcW w:w="695" w:type="pct"/>
            <w:tcBorders>
              <w:top w:val="nil"/>
              <w:left w:val="nil"/>
              <w:bottom w:val="nil"/>
              <w:right w:val="nil"/>
            </w:tcBorders>
            <w:noWrap/>
            <w:vAlign w:val="center"/>
            <w:hideMark/>
          </w:tcPr>
          <w:p w14:paraId="6F9E623B" w14:textId="77777777" w:rsidR="00F212C7" w:rsidRPr="00F212C7" w:rsidRDefault="00F212C7" w:rsidP="00D60720">
            <w:pPr>
              <w:spacing w:line="276" w:lineRule="auto"/>
              <w:jc w:val="center"/>
              <w:rPr>
                <w:rFonts w:ascii="Arial" w:hAnsi="Arial" w:cs="Arial"/>
                <w:b/>
                <w:bCs/>
                <w:color w:val="000000"/>
                <w:sz w:val="18"/>
                <w:szCs w:val="18"/>
              </w:rPr>
            </w:pPr>
            <w:r w:rsidRPr="00F212C7">
              <w:rPr>
                <w:rFonts w:ascii="Arial" w:hAnsi="Arial" w:cs="Arial"/>
                <w:b/>
                <w:bCs/>
                <w:color w:val="000000"/>
                <w:sz w:val="18"/>
                <w:szCs w:val="18"/>
              </w:rPr>
              <w:t>7.91</w:t>
            </w:r>
          </w:p>
        </w:tc>
      </w:tr>
    </w:tbl>
    <w:p w14:paraId="5FA7CC7A" w14:textId="77777777" w:rsidR="00F212C7" w:rsidRPr="00F212C7" w:rsidRDefault="00F212C7" w:rsidP="00D60720">
      <w:pPr>
        <w:spacing w:line="360" w:lineRule="auto"/>
        <w:jc w:val="center"/>
        <w:rPr>
          <w:rFonts w:ascii="Arial" w:hAnsi="Arial" w:cs="Arial"/>
          <w:sz w:val="16"/>
          <w:szCs w:val="16"/>
        </w:rPr>
      </w:pPr>
    </w:p>
    <w:p w14:paraId="435C552A" w14:textId="77777777" w:rsidR="00F212C7" w:rsidRPr="00F212C7" w:rsidRDefault="00F212C7" w:rsidP="00D60720">
      <w:pPr>
        <w:spacing w:line="360" w:lineRule="auto"/>
        <w:jc w:val="center"/>
        <w:rPr>
          <w:rFonts w:ascii="Arial" w:hAnsi="Arial" w:cs="Arial"/>
          <w:sz w:val="16"/>
          <w:szCs w:val="16"/>
        </w:rPr>
      </w:pPr>
      <w:r w:rsidRPr="00F212C7">
        <w:rPr>
          <w:rFonts w:ascii="Arial" w:hAnsi="Arial" w:cs="Arial"/>
          <w:sz w:val="16"/>
          <w:szCs w:val="16"/>
        </w:rPr>
        <w:t>Fuente: Elaborado por la Subsecretaría de Finanzas de la Secretaría de Finanzas y Administración.</w:t>
      </w:r>
    </w:p>
    <w:p w14:paraId="6A9CE1CE" w14:textId="77777777" w:rsidR="00F212C7" w:rsidRPr="00DB1597" w:rsidRDefault="00F212C7" w:rsidP="00D60720">
      <w:pPr>
        <w:spacing w:line="360" w:lineRule="auto"/>
        <w:jc w:val="both"/>
        <w:rPr>
          <w:rFonts w:ascii="Arial" w:hAnsi="Arial" w:cs="Arial"/>
        </w:rPr>
      </w:pPr>
    </w:p>
    <w:p w14:paraId="0DA03B0D" w14:textId="6E28174C" w:rsidR="001F446B" w:rsidRPr="001F446B" w:rsidRDefault="001F446B" w:rsidP="00D60720">
      <w:pPr>
        <w:spacing w:line="360" w:lineRule="auto"/>
        <w:jc w:val="both"/>
        <w:rPr>
          <w:rFonts w:ascii="Arial" w:hAnsi="Arial" w:cs="Arial"/>
          <w:b/>
          <w:bCs/>
        </w:rPr>
      </w:pPr>
      <w:r w:rsidRPr="001F446B">
        <w:rPr>
          <w:rFonts w:ascii="Arial" w:hAnsi="Arial" w:cs="Arial"/>
          <w:b/>
          <w:bCs/>
        </w:rPr>
        <w:t>5.1. Riesgos relevantes para las Finanzas Públicas Estatales</w:t>
      </w:r>
    </w:p>
    <w:p w14:paraId="4605392D" w14:textId="77777777" w:rsidR="00C94522" w:rsidRDefault="00C94522" w:rsidP="00D60720">
      <w:pPr>
        <w:spacing w:line="360" w:lineRule="auto"/>
        <w:jc w:val="both"/>
        <w:rPr>
          <w:rFonts w:ascii="Arial" w:hAnsi="Arial" w:cs="Arial"/>
        </w:rPr>
      </w:pPr>
    </w:p>
    <w:p w14:paraId="50C8FE28" w14:textId="253C56E8" w:rsidR="00C94522" w:rsidRDefault="00C94522" w:rsidP="00D60720">
      <w:pPr>
        <w:spacing w:line="360" w:lineRule="auto"/>
        <w:jc w:val="both"/>
        <w:rPr>
          <w:rFonts w:ascii="Arial" w:hAnsi="Arial" w:cs="Arial"/>
        </w:rPr>
      </w:pPr>
      <w:r w:rsidRPr="00C94522">
        <w:rPr>
          <w:rFonts w:ascii="Arial" w:hAnsi="Arial" w:cs="Arial"/>
        </w:rPr>
        <w:t>El contexto financiero del Estado de Michoacán en 2026 muestra avances sustanciales en la fortaleza de los ingresos propios y en la disciplina del gasto público, pero también presenta retos estructurales y contingencias externas que deben ser observadas con prudencia dentro de la política presupuestaria estatal.</w:t>
      </w:r>
    </w:p>
    <w:p w14:paraId="7A1A97B2" w14:textId="77777777" w:rsidR="00C94522" w:rsidRDefault="00C94522" w:rsidP="00D60720">
      <w:pPr>
        <w:spacing w:line="360" w:lineRule="auto"/>
        <w:jc w:val="both"/>
        <w:rPr>
          <w:rFonts w:ascii="Arial" w:hAnsi="Arial" w:cs="Arial"/>
        </w:rPr>
      </w:pPr>
    </w:p>
    <w:p w14:paraId="15912FD7" w14:textId="77777777" w:rsidR="00D84CE9" w:rsidRDefault="00C94522" w:rsidP="00D60720">
      <w:pPr>
        <w:spacing w:line="360" w:lineRule="auto"/>
        <w:jc w:val="both"/>
        <w:rPr>
          <w:rFonts w:ascii="Arial" w:hAnsi="Arial" w:cs="Arial"/>
        </w:rPr>
      </w:pPr>
      <w:r w:rsidRPr="00C94522">
        <w:rPr>
          <w:rFonts w:ascii="Arial" w:hAnsi="Arial" w:cs="Arial"/>
        </w:rPr>
        <w:t>Desde el inicio de la actual administración, la política de fortalecimiento de la recaudación local ha permitido incrementar los ingresos estatales de manera sostenida.</w:t>
      </w:r>
    </w:p>
    <w:p w14:paraId="046CED8E" w14:textId="11962E27" w:rsidR="00C94522" w:rsidRDefault="00C94522" w:rsidP="00D60720">
      <w:pPr>
        <w:spacing w:line="360" w:lineRule="auto"/>
        <w:jc w:val="both"/>
        <w:rPr>
          <w:rFonts w:ascii="Arial" w:hAnsi="Arial" w:cs="Arial"/>
        </w:rPr>
      </w:pPr>
      <w:r w:rsidRPr="00C94522">
        <w:rPr>
          <w:rFonts w:ascii="Arial" w:hAnsi="Arial" w:cs="Arial"/>
        </w:rPr>
        <w:br/>
        <w:t>Tan solo en el ejercicio 2025, la recaudación creció</w:t>
      </w:r>
      <w:r>
        <w:rPr>
          <w:rFonts w:ascii="Arial" w:hAnsi="Arial" w:cs="Arial"/>
        </w:rPr>
        <w:t xml:space="preserve"> más del</w:t>
      </w:r>
      <w:r w:rsidRPr="00C94522">
        <w:rPr>
          <w:rFonts w:ascii="Arial" w:hAnsi="Arial" w:cs="Arial"/>
        </w:rPr>
        <w:t xml:space="preserve"> 3</w:t>
      </w:r>
      <w:r>
        <w:rPr>
          <w:rFonts w:ascii="Arial" w:hAnsi="Arial" w:cs="Arial"/>
        </w:rPr>
        <w:t>4</w:t>
      </w:r>
      <w:r w:rsidRPr="00C94522">
        <w:rPr>
          <w:rFonts w:ascii="Arial" w:hAnsi="Arial" w:cs="Arial"/>
        </w:rPr>
        <w:t>% respecto al año anterior, mientras que para 2026 se proyecta un nuevo incremento del 21.</w:t>
      </w:r>
      <w:r w:rsidR="004816E9">
        <w:rPr>
          <w:rFonts w:ascii="Arial" w:hAnsi="Arial" w:cs="Arial"/>
        </w:rPr>
        <w:t>1</w:t>
      </w:r>
      <w:r w:rsidRPr="00C94522">
        <w:rPr>
          <w:rFonts w:ascii="Arial" w:hAnsi="Arial" w:cs="Arial"/>
        </w:rPr>
        <w:t>6%, alcanzando $10,293.9 millones de pesos en ingresos de origen estatal, frente a los $8,4</w:t>
      </w:r>
      <w:r w:rsidR="009C4D4C">
        <w:rPr>
          <w:rFonts w:ascii="Arial" w:hAnsi="Arial" w:cs="Arial"/>
        </w:rPr>
        <w:t>95</w:t>
      </w:r>
      <w:r w:rsidRPr="00C94522">
        <w:rPr>
          <w:rFonts w:ascii="Arial" w:hAnsi="Arial" w:cs="Arial"/>
        </w:rPr>
        <w:t>.</w:t>
      </w:r>
      <w:r w:rsidR="009C4D4C">
        <w:rPr>
          <w:rFonts w:ascii="Arial" w:hAnsi="Arial" w:cs="Arial"/>
        </w:rPr>
        <w:t>9</w:t>
      </w:r>
      <w:r w:rsidRPr="00C94522">
        <w:rPr>
          <w:rFonts w:ascii="Arial" w:hAnsi="Arial" w:cs="Arial"/>
        </w:rPr>
        <w:t xml:space="preserve"> millones registrados en 2025.</w:t>
      </w:r>
    </w:p>
    <w:p w14:paraId="094063A1" w14:textId="77777777" w:rsidR="00C94522" w:rsidRDefault="00C94522" w:rsidP="00D60720">
      <w:pPr>
        <w:spacing w:line="360" w:lineRule="auto"/>
        <w:jc w:val="both"/>
        <w:rPr>
          <w:rFonts w:ascii="Arial" w:hAnsi="Arial" w:cs="Arial"/>
        </w:rPr>
      </w:pPr>
    </w:p>
    <w:p w14:paraId="0FF6589B" w14:textId="77777777" w:rsidR="00C94522" w:rsidRDefault="00C94522" w:rsidP="00D60720">
      <w:pPr>
        <w:spacing w:line="360" w:lineRule="auto"/>
        <w:jc w:val="both"/>
        <w:rPr>
          <w:rFonts w:ascii="Arial" w:hAnsi="Arial" w:cs="Arial"/>
        </w:rPr>
      </w:pPr>
      <w:r w:rsidRPr="00C94522">
        <w:rPr>
          <w:rFonts w:ascii="Arial" w:hAnsi="Arial" w:cs="Arial"/>
        </w:rPr>
        <w:t>No obstante, el avance en la recaudación local todavía enfrenta tres riesgos específicos:</w:t>
      </w:r>
    </w:p>
    <w:p w14:paraId="1A845B0C" w14:textId="77777777" w:rsidR="00302568" w:rsidRPr="00C94522" w:rsidRDefault="00302568" w:rsidP="00D60720">
      <w:pPr>
        <w:spacing w:line="360" w:lineRule="auto"/>
        <w:jc w:val="both"/>
        <w:rPr>
          <w:rFonts w:ascii="Arial" w:hAnsi="Arial" w:cs="Arial"/>
        </w:rPr>
      </w:pPr>
    </w:p>
    <w:p w14:paraId="78B1FBBC" w14:textId="77777777" w:rsidR="00C94522" w:rsidRPr="00C94522" w:rsidRDefault="00C94522" w:rsidP="00D60720">
      <w:pPr>
        <w:numPr>
          <w:ilvl w:val="0"/>
          <w:numId w:val="35"/>
        </w:numPr>
        <w:spacing w:line="360" w:lineRule="auto"/>
        <w:jc w:val="both"/>
        <w:rPr>
          <w:rFonts w:ascii="Arial" w:hAnsi="Arial" w:cs="Arial"/>
        </w:rPr>
      </w:pPr>
      <w:r w:rsidRPr="00C94522">
        <w:rPr>
          <w:rFonts w:ascii="Arial" w:hAnsi="Arial" w:cs="Arial"/>
        </w:rPr>
        <w:t>Elasticidad limitada de la base tributaria estatal, concentrada en pocos sectores económicos.</w:t>
      </w:r>
    </w:p>
    <w:p w14:paraId="5F135BCC" w14:textId="77777777" w:rsidR="00C94522" w:rsidRDefault="00C94522" w:rsidP="00D60720">
      <w:pPr>
        <w:numPr>
          <w:ilvl w:val="0"/>
          <w:numId w:val="35"/>
        </w:numPr>
        <w:spacing w:line="360" w:lineRule="auto"/>
        <w:jc w:val="both"/>
        <w:rPr>
          <w:rFonts w:ascii="Arial" w:hAnsi="Arial" w:cs="Arial"/>
        </w:rPr>
      </w:pPr>
      <w:r w:rsidRPr="00C94522">
        <w:rPr>
          <w:rFonts w:ascii="Arial" w:hAnsi="Arial" w:cs="Arial"/>
        </w:rPr>
        <w:t>Efecto de la desaceleración nacional en el consumo y la inversión, que puede reducir la recaudación del Impuesto sobre Nómina y derechos vehiculares.</w:t>
      </w:r>
    </w:p>
    <w:p w14:paraId="36E01A1F" w14:textId="4E56D97F" w:rsidR="00B912BE" w:rsidRPr="00C94522" w:rsidRDefault="00B912BE" w:rsidP="00D60720">
      <w:pPr>
        <w:numPr>
          <w:ilvl w:val="0"/>
          <w:numId w:val="35"/>
        </w:numPr>
        <w:spacing w:line="360" w:lineRule="auto"/>
        <w:jc w:val="both"/>
        <w:rPr>
          <w:rFonts w:ascii="Arial" w:hAnsi="Arial" w:cs="Arial"/>
        </w:rPr>
      </w:pPr>
      <w:r w:rsidRPr="00341194">
        <w:rPr>
          <w:rFonts w:ascii="Arial" w:hAnsi="Arial" w:cs="Arial"/>
        </w:rPr>
        <w:t>Crecimiento económico menor al estimado, que impacte en la Recaudación Federal Participable y que ello se traduzca en reducciones de los Fondos de Participaciones asociados y que son ingresos de libre disposición</w:t>
      </w:r>
    </w:p>
    <w:p w14:paraId="04B58EBC" w14:textId="2630B53E" w:rsidR="00C94522" w:rsidRDefault="00C94522" w:rsidP="00D60720">
      <w:pPr>
        <w:numPr>
          <w:ilvl w:val="0"/>
          <w:numId w:val="35"/>
        </w:numPr>
        <w:spacing w:line="360" w:lineRule="auto"/>
        <w:jc w:val="both"/>
        <w:rPr>
          <w:rFonts w:ascii="Arial" w:hAnsi="Arial" w:cs="Arial"/>
        </w:rPr>
      </w:pPr>
      <w:r w:rsidRPr="00C94522">
        <w:rPr>
          <w:rFonts w:ascii="Arial" w:hAnsi="Arial" w:cs="Arial"/>
        </w:rPr>
        <w:t>Dependencia de ingresos de origen federal, que siguen representando más del 90% del total de recursos disponibles (97,590.6 millones de pesos de 107,884.6 millones en 2026).</w:t>
      </w:r>
    </w:p>
    <w:p w14:paraId="0CD5B164" w14:textId="2B74A646" w:rsidR="00B912BE" w:rsidRPr="00D84CE9" w:rsidRDefault="00B912BE" w:rsidP="00D60720">
      <w:pPr>
        <w:pStyle w:val="Prrafodelista"/>
        <w:numPr>
          <w:ilvl w:val="0"/>
          <w:numId w:val="35"/>
        </w:numPr>
        <w:spacing w:line="360" w:lineRule="auto"/>
        <w:jc w:val="both"/>
        <w:rPr>
          <w:rFonts w:ascii="Arial" w:hAnsi="Arial" w:cs="Arial"/>
        </w:rPr>
      </w:pPr>
      <w:r w:rsidRPr="00341194">
        <w:rPr>
          <w:rFonts w:ascii="Arial" w:hAnsi="Arial" w:cs="Arial"/>
        </w:rPr>
        <w:t xml:space="preserve">Efectos climatológicos adversos que generen sequías e inundaciones extremas con afectaciones en cosechas, granos básicos y estrés hídrico en zonas del país, así como en rutas comerciales importantes, que en última instancia afecten la formación de precios de productos agropecuarios, alimentos procesados o insumos energéticos, y repercutan en la actividad económica.  </w:t>
      </w:r>
    </w:p>
    <w:p w14:paraId="1B1899EB" w14:textId="77777777" w:rsidR="00C94522" w:rsidRPr="00C94522" w:rsidRDefault="00C94522" w:rsidP="00D60720">
      <w:pPr>
        <w:spacing w:line="360" w:lineRule="auto"/>
        <w:jc w:val="both"/>
        <w:rPr>
          <w:rFonts w:ascii="Arial" w:hAnsi="Arial" w:cs="Arial"/>
        </w:rPr>
      </w:pPr>
    </w:p>
    <w:p w14:paraId="721848E3" w14:textId="5FC1D218" w:rsidR="00A41A50" w:rsidRPr="00A41A50" w:rsidRDefault="00A41A50" w:rsidP="00D60720">
      <w:pPr>
        <w:spacing w:line="360" w:lineRule="auto"/>
        <w:jc w:val="both"/>
        <w:rPr>
          <w:rFonts w:ascii="Arial" w:hAnsi="Arial" w:cs="Arial"/>
        </w:rPr>
      </w:pPr>
      <w:r w:rsidRPr="00A41A50">
        <w:rPr>
          <w:rFonts w:ascii="Arial" w:hAnsi="Arial" w:cs="Arial"/>
        </w:rPr>
        <w:t>Uno de los principales riesgos operativos para las finanzas públicas estatales sigue siendo la insuficiencia y rigidez de las transferencias federales etiquetadas.</w:t>
      </w:r>
      <w:r w:rsidR="000A79F2">
        <w:rPr>
          <w:rFonts w:ascii="Arial" w:hAnsi="Arial" w:cs="Arial"/>
        </w:rPr>
        <w:t xml:space="preserve"> A su vez, siendo el rubro de educación y salud, los rubros de mayor gasto se vuelve clave fortalecer y consolidar las siguientes herramientas de gasto público:</w:t>
      </w:r>
    </w:p>
    <w:p w14:paraId="28B12EB1" w14:textId="77777777" w:rsidR="00A41A50" w:rsidRPr="00A41A50" w:rsidRDefault="00A41A50" w:rsidP="00D60720">
      <w:pPr>
        <w:spacing w:line="360" w:lineRule="auto"/>
        <w:jc w:val="both"/>
        <w:rPr>
          <w:rFonts w:ascii="Arial" w:hAnsi="Arial" w:cs="Arial"/>
        </w:rPr>
      </w:pPr>
    </w:p>
    <w:p w14:paraId="30590A74" w14:textId="4AB61750" w:rsidR="00A41A50" w:rsidRDefault="00A41A50" w:rsidP="00D60720">
      <w:pPr>
        <w:pStyle w:val="Prrafodelista"/>
        <w:numPr>
          <w:ilvl w:val="0"/>
          <w:numId w:val="25"/>
        </w:numPr>
        <w:spacing w:line="360" w:lineRule="auto"/>
        <w:jc w:val="both"/>
        <w:rPr>
          <w:rFonts w:ascii="Arial" w:hAnsi="Arial" w:cs="Arial"/>
        </w:rPr>
      </w:pPr>
      <w:r w:rsidRPr="00A41A50">
        <w:rPr>
          <w:rFonts w:ascii="Arial" w:hAnsi="Arial" w:cs="Arial"/>
        </w:rPr>
        <w:t>Educación (Convenio U080).</w:t>
      </w:r>
    </w:p>
    <w:p w14:paraId="6C32971A" w14:textId="77777777" w:rsidR="00D60720" w:rsidRPr="00A41A50" w:rsidRDefault="00D60720" w:rsidP="00D60720">
      <w:pPr>
        <w:pStyle w:val="Prrafodelista"/>
        <w:spacing w:line="360" w:lineRule="auto"/>
        <w:jc w:val="both"/>
        <w:rPr>
          <w:rFonts w:ascii="Arial" w:hAnsi="Arial" w:cs="Arial"/>
        </w:rPr>
      </w:pPr>
    </w:p>
    <w:p w14:paraId="62F2C8EC" w14:textId="40DB27F1" w:rsidR="00A41A50" w:rsidRDefault="00A41A50" w:rsidP="00D60720">
      <w:pPr>
        <w:spacing w:line="360" w:lineRule="auto"/>
        <w:jc w:val="both"/>
        <w:rPr>
          <w:rFonts w:ascii="Arial" w:hAnsi="Arial" w:cs="Arial"/>
        </w:rPr>
      </w:pPr>
      <w:r>
        <w:rPr>
          <w:rFonts w:ascii="Arial" w:hAnsi="Arial" w:cs="Arial"/>
        </w:rPr>
        <w:t>El fortalecimiento</w:t>
      </w:r>
      <w:r w:rsidRPr="00A41A50">
        <w:rPr>
          <w:rFonts w:ascii="Arial" w:hAnsi="Arial" w:cs="Arial"/>
        </w:rPr>
        <w:t xml:space="preserve"> del convenio U080, que cubre el pago de nómina magisterial, es fundamental para garantizar la sostenibilidad presupuestaria estatal.</w:t>
      </w:r>
      <w:r w:rsidR="000A79F2">
        <w:rPr>
          <w:rFonts w:ascii="Arial" w:hAnsi="Arial" w:cs="Arial"/>
        </w:rPr>
        <w:t xml:space="preserve"> Su debilidad radica en que es un esquema que no se presupuesta de origen y está sujeto a la negociación y firma del convenio con el gobierno federal.</w:t>
      </w:r>
    </w:p>
    <w:p w14:paraId="609C3275" w14:textId="77777777" w:rsidR="00FC2D3D" w:rsidRPr="00A41A50" w:rsidRDefault="00FC2D3D" w:rsidP="00D60720">
      <w:pPr>
        <w:spacing w:line="360" w:lineRule="auto"/>
        <w:jc w:val="both"/>
        <w:rPr>
          <w:rFonts w:ascii="Arial" w:hAnsi="Arial" w:cs="Arial"/>
        </w:rPr>
      </w:pPr>
    </w:p>
    <w:p w14:paraId="1712FC33" w14:textId="670E3AE0" w:rsidR="00A41A50" w:rsidRPr="00A41A50" w:rsidRDefault="00A41A50" w:rsidP="00D60720">
      <w:pPr>
        <w:spacing w:line="360" w:lineRule="auto"/>
        <w:jc w:val="both"/>
        <w:rPr>
          <w:rFonts w:ascii="Arial" w:hAnsi="Arial" w:cs="Arial"/>
        </w:rPr>
      </w:pPr>
      <w:r w:rsidRPr="00A41A50">
        <w:rPr>
          <w:rFonts w:ascii="Arial" w:hAnsi="Arial" w:cs="Arial"/>
        </w:rPr>
        <w:t>Cualquier rezago</w:t>
      </w:r>
      <w:r w:rsidR="000A79F2">
        <w:rPr>
          <w:rFonts w:ascii="Arial" w:hAnsi="Arial" w:cs="Arial"/>
        </w:rPr>
        <w:t>. disminución</w:t>
      </w:r>
      <w:r w:rsidRPr="00A41A50">
        <w:rPr>
          <w:rFonts w:ascii="Arial" w:hAnsi="Arial" w:cs="Arial"/>
        </w:rPr>
        <w:t xml:space="preserve"> o desajuste en la ministración de estos recursos</w:t>
      </w:r>
      <w:r>
        <w:rPr>
          <w:rFonts w:ascii="Arial" w:hAnsi="Arial" w:cs="Arial"/>
        </w:rPr>
        <w:t xml:space="preserve">, </w:t>
      </w:r>
      <w:r w:rsidRPr="00A41A50">
        <w:rPr>
          <w:rFonts w:ascii="Arial" w:hAnsi="Arial" w:cs="Arial"/>
        </w:rPr>
        <w:t>puede traducirse en presión inmediata sobre el gasto corriente estatal.</w:t>
      </w:r>
    </w:p>
    <w:p w14:paraId="4E61EAAC" w14:textId="77777777" w:rsidR="00A41A50" w:rsidRPr="00A41A50" w:rsidRDefault="00A41A50" w:rsidP="00D60720">
      <w:pPr>
        <w:spacing w:line="360" w:lineRule="auto"/>
        <w:jc w:val="both"/>
        <w:rPr>
          <w:rFonts w:ascii="Arial" w:hAnsi="Arial" w:cs="Arial"/>
        </w:rPr>
      </w:pPr>
      <w:r w:rsidRPr="00A41A50">
        <w:rPr>
          <w:rFonts w:ascii="Arial" w:hAnsi="Arial" w:cs="Arial"/>
        </w:rPr>
        <w:t>La continuidad y fortalecimiento del convenio deben ser prioridad en la gestión intergubernamental.</w:t>
      </w:r>
    </w:p>
    <w:p w14:paraId="1D74A087" w14:textId="77777777" w:rsidR="00A41A50" w:rsidRPr="00A41A50" w:rsidRDefault="00A41A50" w:rsidP="00D60720">
      <w:pPr>
        <w:spacing w:line="360" w:lineRule="auto"/>
        <w:jc w:val="both"/>
        <w:rPr>
          <w:rFonts w:ascii="Arial" w:hAnsi="Arial" w:cs="Arial"/>
        </w:rPr>
      </w:pPr>
    </w:p>
    <w:p w14:paraId="1E3F1EEE" w14:textId="6F808BFE" w:rsidR="00A41A50" w:rsidRDefault="00A41A50" w:rsidP="00D60720">
      <w:pPr>
        <w:pStyle w:val="Prrafodelista"/>
        <w:numPr>
          <w:ilvl w:val="0"/>
          <w:numId w:val="25"/>
        </w:numPr>
        <w:spacing w:line="360" w:lineRule="auto"/>
        <w:jc w:val="both"/>
        <w:rPr>
          <w:rFonts w:ascii="Arial" w:hAnsi="Arial" w:cs="Arial"/>
        </w:rPr>
      </w:pPr>
      <w:r w:rsidRPr="00A41A50">
        <w:rPr>
          <w:rFonts w:ascii="Arial" w:hAnsi="Arial" w:cs="Arial"/>
        </w:rPr>
        <w:t>Sector Salud (IMSS–Bienestar).</w:t>
      </w:r>
    </w:p>
    <w:p w14:paraId="6BDBB82E" w14:textId="77777777" w:rsidR="00D60720" w:rsidRPr="00A41A50" w:rsidRDefault="00D60720" w:rsidP="00D60720">
      <w:pPr>
        <w:pStyle w:val="Prrafodelista"/>
        <w:spacing w:line="360" w:lineRule="auto"/>
        <w:jc w:val="both"/>
        <w:rPr>
          <w:rFonts w:ascii="Arial" w:hAnsi="Arial" w:cs="Arial"/>
        </w:rPr>
      </w:pPr>
    </w:p>
    <w:p w14:paraId="769259AA" w14:textId="275F4451" w:rsidR="00A41A50" w:rsidRDefault="00A41A50" w:rsidP="00D60720">
      <w:pPr>
        <w:spacing w:line="360" w:lineRule="auto"/>
        <w:jc w:val="both"/>
        <w:rPr>
          <w:rFonts w:ascii="Arial" w:hAnsi="Arial" w:cs="Arial"/>
        </w:rPr>
      </w:pPr>
      <w:r w:rsidRPr="00A41A50">
        <w:rPr>
          <w:rFonts w:ascii="Arial" w:hAnsi="Arial" w:cs="Arial"/>
        </w:rPr>
        <w:t>La transición operativa al modelo IMSS–Bienestar implica una redistribución de responsabilidades financieras</w:t>
      </w:r>
      <w:r w:rsidR="000A79F2">
        <w:rPr>
          <w:rFonts w:ascii="Arial" w:hAnsi="Arial" w:cs="Arial"/>
        </w:rPr>
        <w:t xml:space="preserve"> y operativas</w:t>
      </w:r>
      <w:r w:rsidRPr="00A41A50">
        <w:rPr>
          <w:rFonts w:ascii="Arial" w:hAnsi="Arial" w:cs="Arial"/>
        </w:rPr>
        <w:t>.</w:t>
      </w:r>
    </w:p>
    <w:p w14:paraId="6735A0BD" w14:textId="77777777" w:rsidR="00D60720" w:rsidRPr="00A41A50" w:rsidRDefault="00D60720" w:rsidP="00D60720">
      <w:pPr>
        <w:spacing w:line="360" w:lineRule="auto"/>
        <w:jc w:val="both"/>
        <w:rPr>
          <w:rFonts w:ascii="Arial" w:hAnsi="Arial" w:cs="Arial"/>
        </w:rPr>
      </w:pPr>
    </w:p>
    <w:p w14:paraId="6786BA5A" w14:textId="01DC60A4" w:rsidR="00A41A50" w:rsidRPr="00A41A50" w:rsidRDefault="000A79F2" w:rsidP="00D60720">
      <w:pPr>
        <w:spacing w:line="360" w:lineRule="auto"/>
        <w:jc w:val="both"/>
        <w:rPr>
          <w:rFonts w:ascii="Arial" w:hAnsi="Arial" w:cs="Arial"/>
        </w:rPr>
      </w:pPr>
      <w:r>
        <w:rPr>
          <w:rFonts w:ascii="Arial" w:hAnsi="Arial" w:cs="Arial"/>
        </w:rPr>
        <w:t>Sin embargo, m</w:t>
      </w:r>
      <w:r w:rsidR="00A41A50" w:rsidRPr="00A41A50">
        <w:rPr>
          <w:rFonts w:ascii="Arial" w:hAnsi="Arial" w:cs="Arial"/>
        </w:rPr>
        <w:t xml:space="preserve">ientras la </w:t>
      </w:r>
      <w:r w:rsidR="00A41A50">
        <w:rPr>
          <w:rFonts w:ascii="Arial" w:hAnsi="Arial" w:cs="Arial"/>
        </w:rPr>
        <w:t xml:space="preserve">transición a la </w:t>
      </w:r>
      <w:r w:rsidR="00A41A50" w:rsidRPr="00A41A50">
        <w:rPr>
          <w:rFonts w:ascii="Arial" w:hAnsi="Arial" w:cs="Arial"/>
        </w:rPr>
        <w:t xml:space="preserve">federación </w:t>
      </w:r>
      <w:r w:rsidR="00A41A50">
        <w:rPr>
          <w:rFonts w:ascii="Arial" w:hAnsi="Arial" w:cs="Arial"/>
        </w:rPr>
        <w:t>continua,</w:t>
      </w:r>
      <w:r w:rsidR="00A41A50" w:rsidRPr="00A41A50">
        <w:rPr>
          <w:rFonts w:ascii="Arial" w:hAnsi="Arial" w:cs="Arial"/>
        </w:rPr>
        <w:t xml:space="preserve"> </w:t>
      </w:r>
      <w:r w:rsidR="00A41A50">
        <w:rPr>
          <w:rFonts w:ascii="Arial" w:hAnsi="Arial" w:cs="Arial"/>
        </w:rPr>
        <w:t>gran</w:t>
      </w:r>
      <w:r w:rsidR="00A41A50" w:rsidRPr="00A41A50">
        <w:rPr>
          <w:rFonts w:ascii="Arial" w:hAnsi="Arial" w:cs="Arial"/>
        </w:rPr>
        <w:t xml:space="preserve"> parte del gasto en nómina y servicios médicos </w:t>
      </w:r>
      <w:r w:rsidR="00A41A50">
        <w:rPr>
          <w:rFonts w:ascii="Arial" w:hAnsi="Arial" w:cs="Arial"/>
        </w:rPr>
        <w:t>lo sigue conservando el estado, así como</w:t>
      </w:r>
      <w:r w:rsidR="00A41A50" w:rsidRPr="00A41A50">
        <w:rPr>
          <w:rFonts w:ascii="Arial" w:hAnsi="Arial" w:cs="Arial"/>
        </w:rPr>
        <w:t xml:space="preserve"> obligaciones de soporte administrativo, infraestructura, medicamentos y personal eventual.</w:t>
      </w:r>
      <w:r>
        <w:rPr>
          <w:rFonts w:ascii="Arial" w:hAnsi="Arial" w:cs="Arial"/>
        </w:rPr>
        <w:t xml:space="preserve"> La disminución del Fondo de Aportaciones para los Servicios de Salud ha puesto gran presión en las finanzas estatales para cubrir con recursos estatales esta disminución, por lo que se debe de buscar esa redistribución de obligaciones no solo operativas sino financieras también con la federación.</w:t>
      </w:r>
    </w:p>
    <w:p w14:paraId="598E08C1" w14:textId="0470AE10" w:rsidR="00C94522" w:rsidRDefault="00C94522" w:rsidP="00D60720">
      <w:pPr>
        <w:spacing w:line="360" w:lineRule="auto"/>
        <w:jc w:val="both"/>
        <w:rPr>
          <w:rFonts w:ascii="Arial" w:hAnsi="Arial" w:cs="Arial"/>
        </w:rPr>
      </w:pPr>
    </w:p>
    <w:p w14:paraId="5ADABF18" w14:textId="2DE9D2E9" w:rsidR="00A41A50" w:rsidRPr="00A41A50" w:rsidRDefault="000A79F2" w:rsidP="00D60720">
      <w:pPr>
        <w:spacing w:line="360" w:lineRule="auto"/>
        <w:jc w:val="both"/>
        <w:rPr>
          <w:rFonts w:ascii="Arial" w:hAnsi="Arial" w:cs="Arial"/>
        </w:rPr>
      </w:pPr>
      <w:r>
        <w:rPr>
          <w:rFonts w:ascii="Arial" w:hAnsi="Arial" w:cs="Arial"/>
        </w:rPr>
        <w:t>Por otro lado, e</w:t>
      </w:r>
      <w:r w:rsidR="00A41A50" w:rsidRPr="00A41A50">
        <w:rPr>
          <w:rFonts w:ascii="Arial" w:hAnsi="Arial" w:cs="Arial"/>
        </w:rPr>
        <w:t>l contexto de seguridad y la gobernabilidad territorial son factores determinantes para mantener la estabilidad financiera y la atracción de inversiones.</w:t>
      </w:r>
    </w:p>
    <w:p w14:paraId="6AC498A7" w14:textId="77777777" w:rsidR="000A79F2" w:rsidRDefault="000A79F2" w:rsidP="00D60720">
      <w:pPr>
        <w:spacing w:line="360" w:lineRule="auto"/>
        <w:jc w:val="both"/>
        <w:rPr>
          <w:rFonts w:ascii="Arial" w:hAnsi="Arial" w:cs="Arial"/>
        </w:rPr>
      </w:pPr>
    </w:p>
    <w:p w14:paraId="14E1EAFD" w14:textId="7E4CFE4C" w:rsidR="00A41A50" w:rsidRPr="00A41A50" w:rsidRDefault="00A41A50" w:rsidP="00D60720">
      <w:pPr>
        <w:spacing w:line="360" w:lineRule="auto"/>
        <w:jc w:val="both"/>
        <w:rPr>
          <w:rFonts w:ascii="Arial" w:hAnsi="Arial" w:cs="Arial"/>
        </w:rPr>
      </w:pPr>
      <w:r w:rsidRPr="00A41A50">
        <w:rPr>
          <w:rFonts w:ascii="Arial" w:hAnsi="Arial" w:cs="Arial"/>
        </w:rPr>
        <w:t>Aunque los indicadores delictivos han mostrado una tendencia a la baja en delitos de alto impacto, persisten zonas de vulnerabilidad que afectan la percepción de riesgo y el costo de operación de empresas.</w:t>
      </w:r>
    </w:p>
    <w:p w14:paraId="3A00BBA2" w14:textId="77777777" w:rsidR="00A41A50" w:rsidRPr="00A41A50" w:rsidRDefault="00A41A50" w:rsidP="00D60720">
      <w:pPr>
        <w:spacing w:line="360" w:lineRule="auto"/>
        <w:jc w:val="both"/>
        <w:rPr>
          <w:rFonts w:ascii="Arial" w:hAnsi="Arial" w:cs="Arial"/>
        </w:rPr>
      </w:pPr>
    </w:p>
    <w:p w14:paraId="492B19E1" w14:textId="77777777" w:rsidR="00A41A50" w:rsidRDefault="00A41A50" w:rsidP="00D60720">
      <w:pPr>
        <w:spacing w:line="360" w:lineRule="auto"/>
        <w:jc w:val="both"/>
        <w:rPr>
          <w:rFonts w:ascii="Arial" w:hAnsi="Arial" w:cs="Arial"/>
        </w:rPr>
      </w:pPr>
      <w:r w:rsidRPr="00A41A50">
        <w:rPr>
          <w:rFonts w:ascii="Arial" w:hAnsi="Arial" w:cs="Arial"/>
        </w:rPr>
        <w:t>La implementación del Plan Michoacán por la Paz y la Justicia, con una inversión federal estimada de 57 mil millones de pesos, representa una oportunidad de inflexión en esta materia.</w:t>
      </w:r>
    </w:p>
    <w:p w14:paraId="2E944066" w14:textId="158CB963" w:rsidR="00A41A50" w:rsidRDefault="00A41A50" w:rsidP="00D60720">
      <w:pPr>
        <w:spacing w:line="360" w:lineRule="auto"/>
        <w:jc w:val="both"/>
        <w:rPr>
          <w:rFonts w:ascii="Arial" w:hAnsi="Arial" w:cs="Arial"/>
        </w:rPr>
      </w:pPr>
      <w:r w:rsidRPr="00A41A50">
        <w:rPr>
          <w:rFonts w:ascii="Arial" w:hAnsi="Arial" w:cs="Arial"/>
        </w:rPr>
        <w:t>Su éxito será clave para mejorar el entorno de negocios, incrementar la competitividad estatal y garantizar la continuidad de la inversión pública y privada.</w:t>
      </w:r>
    </w:p>
    <w:p w14:paraId="576AACAD" w14:textId="640CC929" w:rsidR="003E4841" w:rsidRPr="001F446B" w:rsidRDefault="001F446B" w:rsidP="00D60720">
      <w:pPr>
        <w:spacing w:line="360" w:lineRule="auto"/>
        <w:jc w:val="both"/>
        <w:rPr>
          <w:rFonts w:ascii="Arial" w:hAnsi="Arial" w:cs="Arial"/>
        </w:rPr>
      </w:pPr>
      <w:r w:rsidRPr="001F446B">
        <w:rPr>
          <w:rFonts w:ascii="Arial" w:hAnsi="Arial" w:cs="Arial"/>
        </w:rPr>
        <w:t>La sostenibilidad fiscal, sin embargo, depende de que el crecimiento económico se mantenga dentro del rango proyectado y de que no se presenten choques externos significativos (energéticos, financieros o geopolíticos) que afecten los ingresos o el costo del financiamiento.</w:t>
      </w:r>
    </w:p>
    <w:p w14:paraId="55299840" w14:textId="77777777" w:rsidR="00C94522" w:rsidRDefault="00C94522" w:rsidP="00D60720">
      <w:pPr>
        <w:spacing w:line="360" w:lineRule="auto"/>
        <w:jc w:val="both"/>
        <w:rPr>
          <w:rFonts w:ascii="Arial" w:hAnsi="Arial" w:cs="Arial"/>
          <w:b/>
          <w:bCs/>
        </w:rPr>
      </w:pPr>
    </w:p>
    <w:p w14:paraId="73CDEF8B" w14:textId="69A0E53F" w:rsidR="003E4841" w:rsidRDefault="00302568" w:rsidP="00D60720">
      <w:pPr>
        <w:spacing w:line="360" w:lineRule="auto"/>
        <w:ind w:firstLine="709"/>
        <w:jc w:val="both"/>
        <w:rPr>
          <w:rFonts w:ascii="Arial" w:hAnsi="Arial" w:cs="Arial"/>
          <w:b/>
          <w:bCs/>
        </w:rPr>
      </w:pPr>
      <w:r>
        <w:rPr>
          <w:rFonts w:ascii="Arial" w:hAnsi="Arial" w:cs="Arial"/>
          <w:b/>
          <w:bCs/>
        </w:rPr>
        <w:t xml:space="preserve">5.2. </w:t>
      </w:r>
      <w:r w:rsidR="003E4841" w:rsidRPr="003E4841">
        <w:rPr>
          <w:rFonts w:ascii="Arial" w:hAnsi="Arial" w:cs="Arial"/>
          <w:b/>
          <w:bCs/>
        </w:rPr>
        <w:t>Política de gasto</w:t>
      </w:r>
    </w:p>
    <w:p w14:paraId="5501F2CE" w14:textId="77777777" w:rsidR="00302568" w:rsidRPr="003E4841" w:rsidRDefault="00302568" w:rsidP="00D60720">
      <w:pPr>
        <w:spacing w:line="360" w:lineRule="auto"/>
        <w:ind w:firstLine="709"/>
        <w:jc w:val="both"/>
        <w:rPr>
          <w:rFonts w:ascii="Arial" w:hAnsi="Arial" w:cs="Arial"/>
          <w:b/>
          <w:bCs/>
        </w:rPr>
      </w:pPr>
    </w:p>
    <w:p w14:paraId="3D1AA22B" w14:textId="12A6AC69" w:rsidR="00E0411E" w:rsidRDefault="00E0411E" w:rsidP="00D60720">
      <w:pPr>
        <w:spacing w:line="360" w:lineRule="auto"/>
        <w:jc w:val="both"/>
        <w:rPr>
          <w:rFonts w:ascii="Arial" w:hAnsi="Arial" w:cs="Arial"/>
        </w:rPr>
      </w:pPr>
      <w:r w:rsidRPr="00E0411E">
        <w:rPr>
          <w:rFonts w:ascii="Arial" w:hAnsi="Arial" w:cs="Arial"/>
        </w:rPr>
        <w:t>En el caso de Michoacán, la política fiscal 2026 plantea tres ejes de relevancia:</w:t>
      </w:r>
    </w:p>
    <w:p w14:paraId="4474D50F" w14:textId="77777777" w:rsidR="00AA7149" w:rsidRPr="00E0411E" w:rsidRDefault="00AA7149" w:rsidP="00D60720">
      <w:pPr>
        <w:spacing w:line="360" w:lineRule="auto"/>
        <w:jc w:val="both"/>
        <w:rPr>
          <w:rFonts w:ascii="Arial" w:hAnsi="Arial" w:cs="Arial"/>
        </w:rPr>
      </w:pPr>
    </w:p>
    <w:p w14:paraId="7B986297" w14:textId="480E07B6" w:rsidR="00E0411E" w:rsidRPr="00E0411E" w:rsidRDefault="00E0411E" w:rsidP="00D60720">
      <w:pPr>
        <w:pStyle w:val="Prrafodelista"/>
        <w:numPr>
          <w:ilvl w:val="1"/>
          <w:numId w:val="10"/>
        </w:numPr>
        <w:spacing w:line="360" w:lineRule="auto"/>
        <w:jc w:val="both"/>
        <w:rPr>
          <w:rFonts w:ascii="Arial" w:hAnsi="Arial" w:cs="Arial"/>
        </w:rPr>
      </w:pPr>
      <w:r w:rsidRPr="00E0411E">
        <w:rPr>
          <w:rFonts w:ascii="Arial" w:hAnsi="Arial" w:cs="Arial"/>
        </w:rPr>
        <w:t>Disciplina financiera y equilibrio presupuestal:</w:t>
      </w:r>
    </w:p>
    <w:p w14:paraId="6A656A67" w14:textId="0C9ECF6A" w:rsidR="00E0411E" w:rsidRDefault="00006F17" w:rsidP="00D60720">
      <w:pPr>
        <w:spacing w:line="360" w:lineRule="auto"/>
        <w:jc w:val="both"/>
        <w:rPr>
          <w:rFonts w:ascii="Arial" w:hAnsi="Arial" w:cs="Arial"/>
        </w:rPr>
      </w:pPr>
      <w:r>
        <w:rPr>
          <w:rFonts w:ascii="Arial" w:hAnsi="Arial" w:cs="Arial"/>
        </w:rPr>
        <w:t>Michoacán</w:t>
      </w:r>
      <w:r w:rsidR="00E0411E" w:rsidRPr="00E0411E">
        <w:rPr>
          <w:rFonts w:ascii="Arial" w:hAnsi="Arial" w:cs="Arial"/>
        </w:rPr>
        <w:t xml:space="preserve"> ha mantenido una política de gasto sin déficit y un nivel de endeudamiento dentro de los límites sostenibles de la LDFEFM, lo que permite una programación más estable de los recursos estatales.</w:t>
      </w:r>
    </w:p>
    <w:p w14:paraId="371E8F44" w14:textId="77777777" w:rsidR="00302568" w:rsidRPr="00E0411E" w:rsidRDefault="00302568" w:rsidP="00D60720">
      <w:pPr>
        <w:spacing w:line="360" w:lineRule="auto"/>
        <w:jc w:val="both"/>
        <w:rPr>
          <w:rFonts w:ascii="Arial" w:hAnsi="Arial" w:cs="Arial"/>
        </w:rPr>
      </w:pPr>
    </w:p>
    <w:p w14:paraId="4FAFD6B8" w14:textId="7FBD23A5" w:rsidR="00E0411E" w:rsidRPr="00E0411E" w:rsidRDefault="00E0411E" w:rsidP="00D60720">
      <w:pPr>
        <w:pStyle w:val="Prrafodelista"/>
        <w:numPr>
          <w:ilvl w:val="1"/>
          <w:numId w:val="10"/>
        </w:numPr>
        <w:spacing w:line="360" w:lineRule="auto"/>
        <w:jc w:val="both"/>
        <w:rPr>
          <w:rFonts w:ascii="Arial" w:hAnsi="Arial" w:cs="Arial"/>
        </w:rPr>
      </w:pPr>
      <w:r w:rsidRPr="00E0411E">
        <w:rPr>
          <w:rFonts w:ascii="Arial" w:hAnsi="Arial" w:cs="Arial"/>
        </w:rPr>
        <w:t>Fortalecimiento de los ingresos propios:</w:t>
      </w:r>
    </w:p>
    <w:p w14:paraId="083E26F8" w14:textId="705A18E5" w:rsidR="00E0411E" w:rsidRDefault="00E0411E" w:rsidP="00D60720">
      <w:pPr>
        <w:spacing w:line="360" w:lineRule="auto"/>
        <w:jc w:val="both"/>
        <w:rPr>
          <w:rFonts w:ascii="Arial" w:hAnsi="Arial" w:cs="Arial"/>
        </w:rPr>
      </w:pPr>
      <w:r w:rsidRPr="00E0411E">
        <w:rPr>
          <w:rFonts w:ascii="Arial" w:hAnsi="Arial" w:cs="Arial"/>
        </w:rPr>
        <w:t xml:space="preserve">A través de la consolidación del SATMICH </w:t>
      </w:r>
      <w:r>
        <w:rPr>
          <w:rFonts w:ascii="Arial" w:hAnsi="Arial" w:cs="Arial"/>
        </w:rPr>
        <w:t>y</w:t>
      </w:r>
      <w:r w:rsidR="00E5257F">
        <w:rPr>
          <w:rFonts w:ascii="Arial" w:hAnsi="Arial" w:cs="Arial"/>
        </w:rPr>
        <w:t xml:space="preserve"> el</w:t>
      </w:r>
      <w:r>
        <w:rPr>
          <w:rFonts w:ascii="Arial" w:hAnsi="Arial" w:cs="Arial"/>
        </w:rPr>
        <w:t xml:space="preserve"> Gobierno Digital</w:t>
      </w:r>
      <w:r w:rsidRPr="00E0411E">
        <w:rPr>
          <w:rFonts w:ascii="Arial" w:hAnsi="Arial" w:cs="Arial"/>
        </w:rPr>
        <w:t>, se amplía la base tributaria, se reducen costos administrativos y se mejora la captación de impuestos y derechos locales, sin incrementar tasas impositivas.</w:t>
      </w:r>
    </w:p>
    <w:p w14:paraId="63F281A9" w14:textId="77777777" w:rsidR="00302568" w:rsidRPr="00E0411E" w:rsidRDefault="00302568" w:rsidP="00D60720">
      <w:pPr>
        <w:spacing w:line="360" w:lineRule="auto"/>
        <w:jc w:val="both"/>
        <w:rPr>
          <w:rFonts w:ascii="Arial" w:hAnsi="Arial" w:cs="Arial"/>
        </w:rPr>
      </w:pPr>
    </w:p>
    <w:p w14:paraId="5369B2E9" w14:textId="07382088" w:rsidR="00E0411E" w:rsidRDefault="00E0411E" w:rsidP="00D60720">
      <w:pPr>
        <w:pStyle w:val="Prrafodelista"/>
        <w:numPr>
          <w:ilvl w:val="1"/>
          <w:numId w:val="10"/>
        </w:numPr>
        <w:spacing w:line="360" w:lineRule="auto"/>
        <w:jc w:val="both"/>
        <w:rPr>
          <w:rFonts w:ascii="Arial" w:hAnsi="Arial" w:cs="Arial"/>
        </w:rPr>
      </w:pPr>
      <w:r w:rsidRPr="00E0411E">
        <w:rPr>
          <w:rFonts w:ascii="Arial" w:hAnsi="Arial" w:cs="Arial"/>
        </w:rPr>
        <w:t>Planeación multianual y eficiencia en el gasto:</w:t>
      </w:r>
    </w:p>
    <w:p w14:paraId="1BC17DFA" w14:textId="77777777" w:rsidR="00AA7149" w:rsidRPr="00E0411E" w:rsidRDefault="00AA7149" w:rsidP="00D60720">
      <w:pPr>
        <w:pStyle w:val="Prrafodelista"/>
        <w:spacing w:line="360" w:lineRule="auto"/>
        <w:ind w:left="1440"/>
        <w:jc w:val="both"/>
        <w:rPr>
          <w:rFonts w:ascii="Arial" w:hAnsi="Arial" w:cs="Arial"/>
        </w:rPr>
      </w:pPr>
    </w:p>
    <w:p w14:paraId="78C5A882" w14:textId="644A608E" w:rsidR="00E0411E" w:rsidRDefault="00E0411E" w:rsidP="00D60720">
      <w:pPr>
        <w:spacing w:line="360" w:lineRule="auto"/>
        <w:jc w:val="both"/>
        <w:rPr>
          <w:rFonts w:ascii="Arial" w:hAnsi="Arial" w:cs="Arial"/>
        </w:rPr>
      </w:pPr>
      <w:r w:rsidRPr="00E0411E">
        <w:rPr>
          <w:rFonts w:ascii="Arial" w:hAnsi="Arial" w:cs="Arial"/>
        </w:rPr>
        <w:t>Los mecanismos de programación multianual implementados en los últimos años han permitido a la administración estatal asegurar recursos para proyectos estratégicos de infraestructura y atender de pasivos contingentes.</w:t>
      </w:r>
    </w:p>
    <w:p w14:paraId="572EABDB" w14:textId="77777777" w:rsidR="00AA7149" w:rsidRDefault="00AA7149" w:rsidP="00D60720">
      <w:pPr>
        <w:spacing w:line="360" w:lineRule="auto"/>
        <w:jc w:val="both"/>
        <w:rPr>
          <w:rFonts w:ascii="Arial" w:hAnsi="Arial" w:cs="Arial"/>
        </w:rPr>
      </w:pPr>
    </w:p>
    <w:p w14:paraId="404174FA" w14:textId="13E38EE7" w:rsidR="00A62DAC" w:rsidRDefault="00A62DAC" w:rsidP="00D60720">
      <w:pPr>
        <w:spacing w:line="360" w:lineRule="auto"/>
        <w:jc w:val="both"/>
        <w:rPr>
          <w:rFonts w:ascii="Arial" w:hAnsi="Arial" w:cs="Arial"/>
        </w:rPr>
      </w:pPr>
      <w:r w:rsidRPr="00A62DAC">
        <w:rPr>
          <w:rFonts w:ascii="Arial" w:hAnsi="Arial" w:cs="Arial"/>
        </w:rPr>
        <w:t>Si bien la trayectoria fiscal nacional para 2026 es prudente, persisten retos estructurales derivados de la alta rigidez del gasto público, la dependencia de ingresos petroleros y la presión de los programas sociales permanentes.</w:t>
      </w:r>
    </w:p>
    <w:p w14:paraId="634894BC" w14:textId="77777777" w:rsidR="00FC2D3D" w:rsidRPr="00A62DAC" w:rsidRDefault="00FC2D3D" w:rsidP="00D60720">
      <w:pPr>
        <w:spacing w:line="360" w:lineRule="auto"/>
        <w:jc w:val="both"/>
        <w:rPr>
          <w:rFonts w:ascii="Arial" w:hAnsi="Arial" w:cs="Arial"/>
        </w:rPr>
      </w:pPr>
    </w:p>
    <w:p w14:paraId="2A316467" w14:textId="378E5B86" w:rsidR="00A62DAC" w:rsidRDefault="00A62DAC" w:rsidP="00D60720">
      <w:pPr>
        <w:spacing w:line="360" w:lineRule="auto"/>
        <w:jc w:val="both"/>
        <w:rPr>
          <w:rFonts w:ascii="Arial" w:hAnsi="Arial" w:cs="Arial"/>
        </w:rPr>
      </w:pPr>
      <w:r w:rsidRPr="00A62DAC">
        <w:rPr>
          <w:rFonts w:ascii="Arial" w:hAnsi="Arial" w:cs="Arial"/>
        </w:rPr>
        <w:t xml:space="preserve">En este contexto, </w:t>
      </w:r>
      <w:r>
        <w:rPr>
          <w:rFonts w:ascii="Arial" w:hAnsi="Arial" w:cs="Arial"/>
        </w:rPr>
        <w:t>el gobierno estatal</w:t>
      </w:r>
      <w:r w:rsidRPr="00A62DAC">
        <w:rPr>
          <w:rFonts w:ascii="Arial" w:hAnsi="Arial" w:cs="Arial"/>
        </w:rPr>
        <w:t xml:space="preserve"> deberá mantener una postura de prudencia financiera, fortaleciendo la planeación del gasto corriente, la evaluación del desempeño y la generación de ingresos propios estables.</w:t>
      </w:r>
    </w:p>
    <w:p w14:paraId="40F545D6" w14:textId="77777777" w:rsidR="00AA7149" w:rsidRPr="00A62DAC" w:rsidRDefault="00AA7149" w:rsidP="00D60720">
      <w:pPr>
        <w:spacing w:line="360" w:lineRule="auto"/>
        <w:jc w:val="both"/>
        <w:rPr>
          <w:rFonts w:ascii="Arial" w:hAnsi="Arial" w:cs="Arial"/>
        </w:rPr>
      </w:pPr>
    </w:p>
    <w:p w14:paraId="71FE2AFB" w14:textId="261EDB2F" w:rsidR="00E0411E" w:rsidRDefault="00A62DAC" w:rsidP="00D60720">
      <w:pPr>
        <w:spacing w:line="360" w:lineRule="auto"/>
        <w:jc w:val="both"/>
        <w:rPr>
          <w:rFonts w:ascii="Arial" w:hAnsi="Arial" w:cs="Arial"/>
        </w:rPr>
      </w:pPr>
      <w:r w:rsidRPr="00A62DAC">
        <w:rPr>
          <w:rFonts w:ascii="Arial" w:hAnsi="Arial" w:cs="Arial"/>
        </w:rPr>
        <w:t xml:space="preserve">En suma, el escenario fiscal 2026 se define por una consolidación gradual del equilibrio presupuestario, una gestión responsable del endeudamiento público y la búsqueda de un espacio fiscal suficiente para </w:t>
      </w:r>
      <w:r>
        <w:rPr>
          <w:rFonts w:ascii="Arial" w:hAnsi="Arial" w:cs="Arial"/>
        </w:rPr>
        <w:t>consolidar</w:t>
      </w:r>
      <w:r w:rsidRPr="00A62DAC">
        <w:rPr>
          <w:rFonts w:ascii="Arial" w:hAnsi="Arial" w:cs="Arial"/>
        </w:rPr>
        <w:t xml:space="preserve"> la inversión y el bienestar social sin comprometer la sostenibilidad de las finanzas públicas en el mediano plazo.</w:t>
      </w:r>
    </w:p>
    <w:p w14:paraId="34B5537C" w14:textId="77777777" w:rsidR="00AA7149" w:rsidRPr="00D25785" w:rsidRDefault="00AA7149" w:rsidP="00D60720">
      <w:pPr>
        <w:spacing w:line="360" w:lineRule="auto"/>
        <w:jc w:val="both"/>
        <w:rPr>
          <w:rFonts w:ascii="Arial" w:hAnsi="Arial" w:cs="Arial"/>
        </w:rPr>
      </w:pPr>
    </w:p>
    <w:p w14:paraId="53914B68" w14:textId="739600D0" w:rsidR="0093626F" w:rsidRDefault="00C971EC" w:rsidP="00D60720">
      <w:pPr>
        <w:spacing w:line="360" w:lineRule="auto"/>
        <w:jc w:val="both"/>
        <w:rPr>
          <w:rFonts w:ascii="Arial" w:hAnsi="Arial" w:cs="Arial"/>
        </w:rPr>
      </w:pPr>
      <w:r w:rsidRPr="0093626F">
        <w:rPr>
          <w:rFonts w:ascii="Arial" w:hAnsi="Arial" w:cs="Arial"/>
        </w:rPr>
        <w:t>Durante esta administración, Michoacán ha logrado consolidar un proceso de saneamiento financiero ejemplar. Se redujo el pasivo histórico superior a 10 mil millones de pesos</w:t>
      </w:r>
      <w:r w:rsidR="00E5257F">
        <w:rPr>
          <w:rFonts w:ascii="Arial" w:hAnsi="Arial" w:cs="Arial"/>
        </w:rPr>
        <w:t xml:space="preserve"> y se han mejorado las condiciones de la deuda de largo plazo, reduciendo el costo financiero,</w:t>
      </w:r>
      <w:r w:rsidRPr="0093626F">
        <w:rPr>
          <w:rFonts w:ascii="Arial" w:hAnsi="Arial" w:cs="Arial"/>
        </w:rPr>
        <w:t xml:space="preserve"> m</w:t>
      </w:r>
      <w:r w:rsidR="00E5257F">
        <w:rPr>
          <w:rFonts w:ascii="Arial" w:hAnsi="Arial" w:cs="Arial"/>
        </w:rPr>
        <w:t>anteniendo así</w:t>
      </w:r>
      <w:r w:rsidRPr="0093626F">
        <w:rPr>
          <w:rFonts w:ascii="Arial" w:hAnsi="Arial" w:cs="Arial"/>
        </w:rPr>
        <w:t xml:space="preserve"> la calificación crediticia de</w:t>
      </w:r>
      <w:r w:rsidR="00E5257F">
        <w:rPr>
          <w:rFonts w:ascii="Arial" w:hAnsi="Arial" w:cs="Arial"/>
        </w:rPr>
        <w:t xml:space="preserve"> la entidad en </w:t>
      </w:r>
      <w:r w:rsidR="00E5257F" w:rsidRPr="00E5257F">
        <w:rPr>
          <w:rFonts w:ascii="Arial" w:hAnsi="Arial" w:cs="Arial"/>
        </w:rPr>
        <w:t>BBB+(mex)’</w:t>
      </w:r>
      <w:r w:rsidR="00E5257F">
        <w:rPr>
          <w:rFonts w:ascii="Arial" w:hAnsi="Arial" w:cs="Arial"/>
        </w:rPr>
        <w:t xml:space="preserve"> con </w:t>
      </w:r>
      <w:r w:rsidR="00E5257F" w:rsidRPr="00E5257F">
        <w:rPr>
          <w:rFonts w:ascii="Arial" w:hAnsi="Arial" w:cs="Arial"/>
        </w:rPr>
        <w:t>Perspectiva Estable</w:t>
      </w:r>
      <w:r w:rsidRPr="0093626F">
        <w:rPr>
          <w:rFonts w:ascii="Arial" w:hAnsi="Arial" w:cs="Arial"/>
        </w:rPr>
        <w:t xml:space="preserve"> y disminuyendo la presión financiera sobre el gasto operativo.</w:t>
      </w:r>
    </w:p>
    <w:p w14:paraId="4A097FE0" w14:textId="77777777" w:rsidR="00AA7149" w:rsidRDefault="00AA7149" w:rsidP="00D60720">
      <w:pPr>
        <w:spacing w:line="360" w:lineRule="auto"/>
        <w:jc w:val="both"/>
        <w:rPr>
          <w:rFonts w:ascii="Arial" w:hAnsi="Arial" w:cs="Arial"/>
        </w:rPr>
      </w:pPr>
    </w:p>
    <w:p w14:paraId="00BABD8F" w14:textId="06805583" w:rsidR="0093626F" w:rsidRDefault="00C971EC" w:rsidP="00D60720">
      <w:pPr>
        <w:spacing w:line="360" w:lineRule="auto"/>
        <w:jc w:val="both"/>
        <w:rPr>
          <w:rFonts w:ascii="Arial" w:hAnsi="Arial" w:cs="Arial"/>
        </w:rPr>
      </w:pPr>
      <w:r w:rsidRPr="0093626F">
        <w:rPr>
          <w:rFonts w:ascii="Arial" w:hAnsi="Arial" w:cs="Arial"/>
        </w:rPr>
        <w:t xml:space="preserve">La digitalización de la recaudación a través del SATMICH ha permitido elevar los ingresos propios en más </w:t>
      </w:r>
      <w:r w:rsidR="00AA7149">
        <w:rPr>
          <w:rFonts w:ascii="Arial" w:hAnsi="Arial" w:cs="Arial"/>
        </w:rPr>
        <w:t>de un 30</w:t>
      </w:r>
      <w:r w:rsidRPr="0093626F">
        <w:rPr>
          <w:rFonts w:ascii="Arial" w:hAnsi="Arial" w:cs="Arial"/>
        </w:rPr>
        <w:t>% respecto a 2024</w:t>
      </w:r>
      <w:r w:rsidR="00AA7149">
        <w:rPr>
          <w:rFonts w:ascii="Arial" w:hAnsi="Arial" w:cs="Arial"/>
        </w:rPr>
        <w:t xml:space="preserve"> y se proyecta en más de un 20% en el 2026</w:t>
      </w:r>
      <w:r w:rsidRPr="0093626F">
        <w:rPr>
          <w:rFonts w:ascii="Arial" w:hAnsi="Arial" w:cs="Arial"/>
        </w:rPr>
        <w:t>, sin crear nuevos impuestos. Michoacán es hoy referente en la implementación de procesos certificados bajo la Norma ISO 9001</w:t>
      </w:r>
      <w:r w:rsidR="004816E9">
        <w:rPr>
          <w:rFonts w:ascii="Arial" w:hAnsi="Arial" w:cs="Arial"/>
        </w:rPr>
        <w:t xml:space="preserve"> en Calidad</w:t>
      </w:r>
      <w:r w:rsidRPr="0093626F">
        <w:rPr>
          <w:rFonts w:ascii="Arial" w:hAnsi="Arial" w:cs="Arial"/>
        </w:rPr>
        <w:t xml:space="preserve"> en materia de </w:t>
      </w:r>
      <w:r w:rsidR="00AA7149">
        <w:rPr>
          <w:rFonts w:ascii="Arial" w:hAnsi="Arial" w:cs="Arial"/>
        </w:rPr>
        <w:t>gasto público</w:t>
      </w:r>
      <w:r w:rsidRPr="0093626F">
        <w:rPr>
          <w:rFonts w:ascii="Arial" w:hAnsi="Arial" w:cs="Arial"/>
        </w:rPr>
        <w:t>, asegurando calidad, trazabilidad y transparencia en la gestión del gasto.</w:t>
      </w:r>
    </w:p>
    <w:p w14:paraId="430BD12A" w14:textId="77777777" w:rsidR="00AA7149" w:rsidRDefault="00AA7149" w:rsidP="00D60720">
      <w:pPr>
        <w:spacing w:line="360" w:lineRule="auto"/>
        <w:jc w:val="both"/>
        <w:rPr>
          <w:rFonts w:ascii="Arial" w:hAnsi="Arial" w:cs="Arial"/>
        </w:rPr>
      </w:pPr>
    </w:p>
    <w:p w14:paraId="781545D9" w14:textId="02FC4780" w:rsidR="0093626F" w:rsidRDefault="00C971EC" w:rsidP="00D60720">
      <w:pPr>
        <w:spacing w:line="360" w:lineRule="auto"/>
        <w:jc w:val="both"/>
        <w:rPr>
          <w:rFonts w:ascii="Arial" w:hAnsi="Arial" w:cs="Arial"/>
        </w:rPr>
      </w:pPr>
      <w:r w:rsidRPr="0093626F">
        <w:rPr>
          <w:rFonts w:ascii="Arial" w:hAnsi="Arial" w:cs="Arial"/>
        </w:rPr>
        <w:t xml:space="preserve">Se </w:t>
      </w:r>
      <w:r w:rsidR="00AA7149">
        <w:rPr>
          <w:rFonts w:ascii="Arial" w:hAnsi="Arial" w:cs="Arial"/>
        </w:rPr>
        <w:t>ha fortalecido también</w:t>
      </w:r>
      <w:r w:rsidRPr="0093626F">
        <w:rPr>
          <w:rFonts w:ascii="Arial" w:hAnsi="Arial" w:cs="Arial"/>
        </w:rPr>
        <w:t xml:space="preserve"> el esquema de presupuesto directo a comunidades indígenas, promoviendo el autogobierno y la participación ciudadana en la toma de decisiones, con enfoque de equidad y desarrollo regional. En inversión pública, destacan las obras multianuales de infraestructura carretera, educativa y de movilidad como el Cablebús de Uruapan y el proyecto de Morelia.</w:t>
      </w:r>
    </w:p>
    <w:p w14:paraId="7BD37E7A" w14:textId="77777777" w:rsidR="0093626F" w:rsidRDefault="0093626F" w:rsidP="00D60720">
      <w:pPr>
        <w:spacing w:line="360" w:lineRule="auto"/>
        <w:jc w:val="both"/>
        <w:rPr>
          <w:rFonts w:ascii="Arial" w:hAnsi="Arial" w:cs="Arial"/>
        </w:rPr>
      </w:pPr>
    </w:p>
    <w:p w14:paraId="35977B31" w14:textId="1C28CCDA" w:rsidR="00AA7149" w:rsidRDefault="00C971EC" w:rsidP="00D60720">
      <w:pPr>
        <w:spacing w:line="360" w:lineRule="auto"/>
        <w:jc w:val="both"/>
        <w:rPr>
          <w:rFonts w:ascii="Arial" w:hAnsi="Arial" w:cs="Arial"/>
        </w:rPr>
      </w:pPr>
      <w:r w:rsidRPr="0093626F">
        <w:rPr>
          <w:rFonts w:ascii="Arial" w:hAnsi="Arial" w:cs="Arial"/>
        </w:rPr>
        <w:t xml:space="preserve">El gasto público estatal </w:t>
      </w:r>
      <w:r w:rsidR="00AA7149">
        <w:rPr>
          <w:rFonts w:ascii="Arial" w:hAnsi="Arial" w:cs="Arial"/>
        </w:rPr>
        <w:t xml:space="preserve">para </w:t>
      </w:r>
      <w:r w:rsidRPr="0093626F">
        <w:rPr>
          <w:rFonts w:ascii="Arial" w:hAnsi="Arial" w:cs="Arial"/>
        </w:rPr>
        <w:t>2026</w:t>
      </w:r>
      <w:r w:rsidR="00AA7149">
        <w:rPr>
          <w:rFonts w:ascii="Arial" w:hAnsi="Arial" w:cs="Arial"/>
        </w:rPr>
        <w:t>,</w:t>
      </w:r>
      <w:r w:rsidRPr="0093626F">
        <w:rPr>
          <w:rFonts w:ascii="Arial" w:hAnsi="Arial" w:cs="Arial"/>
        </w:rPr>
        <w:t xml:space="preserve"> mantiene equilibrio entre gasto programable y no programable</w:t>
      </w:r>
      <w:r w:rsidR="00AA7149">
        <w:rPr>
          <w:rFonts w:ascii="Arial" w:hAnsi="Arial" w:cs="Arial"/>
        </w:rPr>
        <w:t>, representando</w:t>
      </w:r>
      <w:r w:rsidR="00AA7149" w:rsidRPr="0093626F">
        <w:rPr>
          <w:rFonts w:ascii="Arial" w:hAnsi="Arial" w:cs="Arial"/>
        </w:rPr>
        <w:t xml:space="preserve"> un instrumento clave para consolidar las finanzas públicas, fortalecer la inversión social y garantizar un desarrollo equilibrado en todo el territorio michoacano. Este </w:t>
      </w:r>
      <w:r w:rsidR="00AA7149">
        <w:rPr>
          <w:rFonts w:ascii="Arial" w:hAnsi="Arial" w:cs="Arial"/>
        </w:rPr>
        <w:t>Proyecto de P</w:t>
      </w:r>
      <w:r w:rsidR="00AA7149" w:rsidRPr="0093626F">
        <w:rPr>
          <w:rFonts w:ascii="Arial" w:hAnsi="Arial" w:cs="Arial"/>
        </w:rPr>
        <w:t>resupuesto refleja orden, disciplina y visión de futuro, alineado a la política nacional de austeridad y bienestar.</w:t>
      </w:r>
    </w:p>
    <w:p w14:paraId="28A0F9FA" w14:textId="77777777" w:rsidR="00AA7149" w:rsidRDefault="00AA7149" w:rsidP="00D60720">
      <w:pPr>
        <w:spacing w:line="360" w:lineRule="auto"/>
        <w:jc w:val="both"/>
        <w:rPr>
          <w:rFonts w:ascii="Arial" w:hAnsi="Arial" w:cs="Arial"/>
        </w:rPr>
      </w:pPr>
    </w:p>
    <w:p w14:paraId="728F418C" w14:textId="64479160" w:rsidR="00AA7149" w:rsidRDefault="00AA7149" w:rsidP="00D60720">
      <w:pPr>
        <w:spacing w:line="360" w:lineRule="auto"/>
        <w:jc w:val="both"/>
        <w:rPr>
          <w:rFonts w:ascii="Arial" w:hAnsi="Arial" w:cs="Arial"/>
        </w:rPr>
      </w:pPr>
      <w:r w:rsidRPr="00AA7149">
        <w:rPr>
          <w:rFonts w:ascii="Arial" w:hAnsi="Arial" w:cs="Arial"/>
        </w:rPr>
        <w:t>En ese marco, el Proyecto de Presupuesto de Egresos del Estado de Michoacán para el Ejercicio Fiscal 2026 se formula con estricto apego a los principios de austeridad, racionalidad, sostenibilidad y eficiencia, en concordancia con la política económica nacional y los Criterios Generales de Política Económica 2026 emitidos por la Secretaría de Hacienda y Crédito Público.</w:t>
      </w:r>
    </w:p>
    <w:p w14:paraId="74F0EAD4" w14:textId="77777777" w:rsidR="00AA7149" w:rsidRPr="00AA7149" w:rsidRDefault="00AA7149" w:rsidP="00D60720">
      <w:pPr>
        <w:spacing w:line="360" w:lineRule="auto"/>
        <w:jc w:val="both"/>
        <w:rPr>
          <w:rFonts w:ascii="Arial" w:hAnsi="Arial" w:cs="Arial"/>
        </w:rPr>
      </w:pPr>
    </w:p>
    <w:p w14:paraId="7CD29895" w14:textId="77777777" w:rsidR="00AA7149" w:rsidRDefault="00AA7149" w:rsidP="00D60720">
      <w:pPr>
        <w:spacing w:line="360" w:lineRule="auto"/>
        <w:jc w:val="both"/>
        <w:rPr>
          <w:rFonts w:ascii="Arial" w:hAnsi="Arial" w:cs="Arial"/>
        </w:rPr>
      </w:pPr>
      <w:r w:rsidRPr="00AA7149">
        <w:rPr>
          <w:rFonts w:ascii="Arial" w:hAnsi="Arial" w:cs="Arial"/>
        </w:rPr>
        <w:t>El presente proyecto cumple plenamente con lo dispuesto por la Ley de Disciplina Financiera de las Entidades Federativas y los Municipios, la Ley de Planeación Hacendaria, Presupuesto, Gasto Público y Contabilidad Gubernamental del Estado de Michoacán de Ocampo, así como con la Ley General de Contabilidad Gubernamental y los lineamientos emitidos por el Consejo Nacional de Armonización Contable (CONAC).</w:t>
      </w:r>
    </w:p>
    <w:p w14:paraId="187643A1" w14:textId="77777777" w:rsidR="00976610" w:rsidRPr="00AA7149" w:rsidRDefault="00976610" w:rsidP="00D60720">
      <w:pPr>
        <w:spacing w:line="360" w:lineRule="auto"/>
        <w:jc w:val="both"/>
        <w:rPr>
          <w:rFonts w:ascii="Arial" w:hAnsi="Arial" w:cs="Arial"/>
        </w:rPr>
      </w:pPr>
    </w:p>
    <w:p w14:paraId="36348EBB" w14:textId="6413DBC5" w:rsidR="00AA7149" w:rsidRDefault="00AA7149" w:rsidP="00D60720">
      <w:pPr>
        <w:spacing w:line="360" w:lineRule="auto"/>
        <w:jc w:val="both"/>
        <w:rPr>
          <w:rFonts w:ascii="Arial" w:hAnsi="Arial" w:cs="Arial"/>
        </w:rPr>
      </w:pPr>
      <w:r w:rsidRPr="00AA7149">
        <w:rPr>
          <w:rFonts w:ascii="Arial" w:hAnsi="Arial" w:cs="Arial"/>
        </w:rPr>
        <w:t>De igual manera, el documento se presenta ante ese H</w:t>
      </w:r>
      <w:r w:rsidR="00976610">
        <w:rPr>
          <w:rFonts w:ascii="Arial" w:hAnsi="Arial" w:cs="Arial"/>
        </w:rPr>
        <w:t>.</w:t>
      </w:r>
      <w:r w:rsidRPr="00AA7149">
        <w:rPr>
          <w:rFonts w:ascii="Arial" w:hAnsi="Arial" w:cs="Arial"/>
        </w:rPr>
        <w:t xml:space="preserve"> Congreso del Estado en cumplimiento a las disposiciones legales aplicables, integrando la información programática y financiera correspondiente, los techos presupuestales por fuente de financiamiento, y la descripción de los programas presupuestarios, con sus respectivos objetivos, metas e indicadores de desempeño, conforme a las Unidades Programáticas Presupuestarias (UPP) responsables de su ejecución.</w:t>
      </w:r>
    </w:p>
    <w:p w14:paraId="73A88FB2" w14:textId="77777777" w:rsidR="00976610" w:rsidRPr="00AA7149" w:rsidRDefault="00976610" w:rsidP="00D60720">
      <w:pPr>
        <w:spacing w:line="360" w:lineRule="auto"/>
        <w:jc w:val="both"/>
        <w:rPr>
          <w:rFonts w:ascii="Arial" w:hAnsi="Arial" w:cs="Arial"/>
        </w:rPr>
      </w:pPr>
    </w:p>
    <w:p w14:paraId="6CA24F8C" w14:textId="77777777" w:rsidR="00976610" w:rsidRPr="00E85C8C" w:rsidRDefault="00976610" w:rsidP="00D60720">
      <w:pPr>
        <w:spacing w:line="360" w:lineRule="auto"/>
        <w:jc w:val="both"/>
        <w:rPr>
          <w:rFonts w:ascii="Arial" w:hAnsi="Arial" w:cs="Arial"/>
        </w:rPr>
      </w:pPr>
      <w:r w:rsidRPr="00E85C8C">
        <w:rPr>
          <w:rFonts w:ascii="Arial" w:hAnsi="Arial" w:cs="Arial"/>
        </w:rPr>
        <w:t>Una vez manifestado lo anterior, se hace del conocimiento de este H. Congreso que las asignaciones presupuestales a nivel Unidad Programática Presupuestal, Unidad Responsable de la ejecución de los programas, por programa, subprograma y partida presupuestal y las previsiones del gasto se acompañan como anexo al presente, al igual que la desagregación del total del Presupuesto de Egresos que corresponda a la inversión de obra pública.</w:t>
      </w:r>
    </w:p>
    <w:p w14:paraId="29D2B0E9" w14:textId="77777777" w:rsidR="00976610" w:rsidRPr="00E85C8C" w:rsidRDefault="00976610" w:rsidP="00D60720">
      <w:pPr>
        <w:spacing w:line="360" w:lineRule="auto"/>
        <w:jc w:val="both"/>
        <w:rPr>
          <w:rFonts w:ascii="Arial" w:hAnsi="Arial" w:cs="Arial"/>
        </w:rPr>
      </w:pPr>
    </w:p>
    <w:p w14:paraId="12D9A8A6" w14:textId="77777777" w:rsidR="00976610" w:rsidRPr="00E85C8C" w:rsidRDefault="00976610" w:rsidP="00D60720">
      <w:pPr>
        <w:spacing w:line="360" w:lineRule="auto"/>
        <w:jc w:val="both"/>
        <w:rPr>
          <w:rFonts w:ascii="Arial" w:hAnsi="Arial" w:cs="Arial"/>
        </w:rPr>
      </w:pPr>
      <w:r w:rsidRPr="00E85C8C">
        <w:rPr>
          <w:rFonts w:ascii="Arial" w:hAnsi="Arial" w:cs="Arial"/>
        </w:rPr>
        <w:t>Asimismo, se acompaña como anexo, la situación de la deuda pública estimada al cierre del ejercicio presupuestal en curso, así como la proyección de recursos para cubrir la deuda hasta por los cinco años posteriores.</w:t>
      </w:r>
    </w:p>
    <w:p w14:paraId="43279F27" w14:textId="77777777" w:rsidR="00976610" w:rsidRPr="00E85C8C" w:rsidRDefault="00976610" w:rsidP="00D60720">
      <w:pPr>
        <w:spacing w:line="360" w:lineRule="auto"/>
        <w:jc w:val="both"/>
        <w:rPr>
          <w:rFonts w:ascii="Arial" w:hAnsi="Arial" w:cs="Arial"/>
        </w:rPr>
      </w:pPr>
    </w:p>
    <w:p w14:paraId="62117382" w14:textId="77777777" w:rsidR="00976610" w:rsidRPr="00E85C8C" w:rsidRDefault="00976610" w:rsidP="00D60720">
      <w:pPr>
        <w:spacing w:line="360" w:lineRule="auto"/>
        <w:jc w:val="both"/>
        <w:rPr>
          <w:rFonts w:ascii="Arial" w:hAnsi="Arial" w:cs="Arial"/>
        </w:rPr>
      </w:pPr>
      <w:r w:rsidRPr="00E85C8C">
        <w:rPr>
          <w:rFonts w:ascii="Arial" w:hAnsi="Arial" w:cs="Arial"/>
        </w:rPr>
        <w:t>Se acompaña, en anexo, las plantillas del personal por jornada y nivel, incluyendo de aquellas que ocupan los titulares de los Poderes Legislativo, Ejecutivo y Judicial, y los gastos en servicios personales.</w:t>
      </w:r>
    </w:p>
    <w:p w14:paraId="528921FC" w14:textId="77777777" w:rsidR="00976610" w:rsidRPr="00E85C8C" w:rsidRDefault="00976610" w:rsidP="00D60720">
      <w:pPr>
        <w:spacing w:line="360" w:lineRule="auto"/>
        <w:jc w:val="both"/>
        <w:rPr>
          <w:rFonts w:ascii="Arial" w:hAnsi="Arial" w:cs="Arial"/>
        </w:rPr>
      </w:pPr>
    </w:p>
    <w:p w14:paraId="71E99FA1" w14:textId="77777777" w:rsidR="00976610" w:rsidRPr="00E85C8C" w:rsidRDefault="00976610" w:rsidP="00D60720">
      <w:pPr>
        <w:spacing w:line="360" w:lineRule="auto"/>
        <w:jc w:val="both"/>
        <w:rPr>
          <w:rFonts w:ascii="Arial" w:hAnsi="Arial" w:cs="Arial"/>
        </w:rPr>
      </w:pPr>
      <w:r w:rsidRPr="00E85C8C">
        <w:rPr>
          <w:rFonts w:ascii="Arial" w:hAnsi="Arial" w:cs="Arial"/>
        </w:rPr>
        <w:t>Se presenta, en anexo, el calendario comparativo mensual de ingresos y gastos estimados para el ejercicio fiscal, por fuente de financiamiento como lo establece el acuerdo emitido por el Consejo Nacional de Armonización Contable (CONAC) para tal efecto, señalándose las previsiones de gasto y los programas vinculados con políticas de procuración de equidad de género, grupos vulnerables, entre otros.</w:t>
      </w:r>
    </w:p>
    <w:p w14:paraId="2A9DD096" w14:textId="77777777" w:rsidR="00976610" w:rsidRPr="00E85C8C" w:rsidRDefault="00976610" w:rsidP="00D60720">
      <w:pPr>
        <w:spacing w:line="360" w:lineRule="auto"/>
        <w:jc w:val="both"/>
        <w:rPr>
          <w:rFonts w:ascii="Arial" w:hAnsi="Arial" w:cs="Arial"/>
        </w:rPr>
      </w:pPr>
    </w:p>
    <w:p w14:paraId="0357CFF4" w14:textId="77777777" w:rsidR="00976610" w:rsidRPr="00E85C8C" w:rsidRDefault="00976610" w:rsidP="00D60720">
      <w:pPr>
        <w:spacing w:line="360" w:lineRule="auto"/>
        <w:jc w:val="both"/>
        <w:rPr>
          <w:rFonts w:ascii="Arial" w:hAnsi="Arial" w:cs="Arial"/>
        </w:rPr>
      </w:pPr>
      <w:r w:rsidRPr="00E85C8C">
        <w:rPr>
          <w:rFonts w:ascii="Arial" w:hAnsi="Arial" w:cs="Arial"/>
        </w:rPr>
        <w:t xml:space="preserve">Aunado a lo anterior, se presenta en anexo la metodología empleada para determinar la estacionalidad y el monto recaudado por tipo de ingreso, así como la utilizada para calendarizar el gasto según su clasificación económica. De igual manera se incluyen las Iniciativas de Presupuesto presentadas por los Poderes y Organismos Autónomos. </w:t>
      </w:r>
    </w:p>
    <w:p w14:paraId="5AD185BA" w14:textId="77777777" w:rsidR="00976610" w:rsidRPr="00E85C8C" w:rsidRDefault="00976610" w:rsidP="00D60720">
      <w:pPr>
        <w:spacing w:line="360" w:lineRule="auto"/>
        <w:jc w:val="both"/>
        <w:rPr>
          <w:rFonts w:ascii="Arial" w:hAnsi="Arial" w:cs="Arial"/>
        </w:rPr>
      </w:pPr>
    </w:p>
    <w:p w14:paraId="3304125A" w14:textId="7443266A" w:rsidR="00976610" w:rsidRPr="00E85C8C" w:rsidRDefault="00976610" w:rsidP="00D60720">
      <w:pPr>
        <w:spacing w:line="360" w:lineRule="auto"/>
        <w:jc w:val="both"/>
        <w:rPr>
          <w:rFonts w:ascii="Arial" w:hAnsi="Arial" w:cs="Arial"/>
        </w:rPr>
      </w:pPr>
      <w:r w:rsidRPr="00E85C8C">
        <w:rPr>
          <w:rFonts w:ascii="Arial" w:hAnsi="Arial" w:cs="Arial"/>
        </w:rPr>
        <w:t>En síntesis, el gasto público presupuestado para el Ejercicio Fiscal 202</w:t>
      </w:r>
      <w:r>
        <w:rPr>
          <w:rFonts w:ascii="Arial" w:hAnsi="Arial" w:cs="Arial"/>
        </w:rPr>
        <w:t>6</w:t>
      </w:r>
      <w:r w:rsidRPr="00E85C8C">
        <w:rPr>
          <w:rFonts w:ascii="Arial" w:hAnsi="Arial" w:cs="Arial"/>
        </w:rPr>
        <w:t xml:space="preserve">, </w:t>
      </w:r>
      <w:r w:rsidRPr="00976610">
        <w:rPr>
          <w:rFonts w:ascii="Arial" w:hAnsi="Arial" w:cs="Arial"/>
        </w:rPr>
        <w:t>representa el compromiso de esta administración con una gestión pública responsable, ordenada y transparente</w:t>
      </w:r>
      <w:r>
        <w:rPr>
          <w:rFonts w:ascii="Arial" w:hAnsi="Arial" w:cs="Arial"/>
        </w:rPr>
        <w:t xml:space="preserve"> y que con el </w:t>
      </w:r>
      <w:r w:rsidRPr="00976610">
        <w:rPr>
          <w:rFonts w:ascii="Arial" w:hAnsi="Arial" w:cs="Arial"/>
        </w:rPr>
        <w:t>consenso alcanzado en su elaboración</w:t>
      </w:r>
      <w:r w:rsidR="00CE637E">
        <w:rPr>
          <w:rFonts w:ascii="Arial" w:hAnsi="Arial" w:cs="Arial"/>
        </w:rPr>
        <w:t>,</w:t>
      </w:r>
      <w:r w:rsidRPr="00976610">
        <w:rPr>
          <w:rFonts w:ascii="Arial" w:hAnsi="Arial" w:cs="Arial"/>
        </w:rPr>
        <w:t xml:space="preserve"> permitirá avanzar hacia una administración ordenada, transparente y participativa, que dirija cada peso público al bienestar de las familias michoacanas, al fortalecimiento de la seguridad, la educación, la salud y la infraestructura que impulsa el desarrollo</w:t>
      </w:r>
      <w:r w:rsidRPr="00E85C8C">
        <w:rPr>
          <w:rFonts w:ascii="Arial" w:hAnsi="Arial" w:cs="Arial"/>
        </w:rPr>
        <w:t>, para que Michoacán pueda continuar su transformación hacia un estado próspero, seguro y</w:t>
      </w:r>
      <w:r>
        <w:rPr>
          <w:rFonts w:ascii="Arial" w:hAnsi="Arial" w:cs="Arial"/>
        </w:rPr>
        <w:t xml:space="preserve"> con</w:t>
      </w:r>
      <w:r w:rsidRPr="00E85C8C">
        <w:rPr>
          <w:rFonts w:ascii="Arial" w:hAnsi="Arial" w:cs="Arial"/>
        </w:rPr>
        <w:t xml:space="preserve"> just</w:t>
      </w:r>
      <w:r>
        <w:rPr>
          <w:rFonts w:ascii="Arial" w:hAnsi="Arial" w:cs="Arial"/>
        </w:rPr>
        <w:t>icia social</w:t>
      </w:r>
      <w:r w:rsidRPr="00E85C8C">
        <w:rPr>
          <w:rFonts w:ascii="Arial" w:hAnsi="Arial" w:cs="Arial"/>
        </w:rPr>
        <w:t xml:space="preserve">, si todos contribuimos a que así sea, </w:t>
      </w:r>
      <w:r w:rsidRPr="00E85C8C">
        <w:rPr>
          <w:rFonts w:ascii="Arial" w:hAnsi="Arial" w:cs="Arial"/>
          <w:b/>
        </w:rPr>
        <w:t>CON HONESTIDAD</w:t>
      </w:r>
      <w:r>
        <w:rPr>
          <w:rFonts w:ascii="Arial" w:hAnsi="Arial" w:cs="Arial"/>
          <w:b/>
        </w:rPr>
        <w:t>,</w:t>
      </w:r>
      <w:r w:rsidRPr="00E85C8C">
        <w:rPr>
          <w:rFonts w:ascii="Arial" w:hAnsi="Arial" w:cs="Arial"/>
          <w:b/>
        </w:rPr>
        <w:t xml:space="preserve"> TRABAJO</w:t>
      </w:r>
      <w:r>
        <w:rPr>
          <w:rFonts w:ascii="Arial" w:hAnsi="Arial" w:cs="Arial"/>
          <w:b/>
        </w:rPr>
        <w:t xml:space="preserve"> Y UNIDAD.</w:t>
      </w:r>
    </w:p>
    <w:p w14:paraId="3E40E21C" w14:textId="77777777" w:rsidR="00976610" w:rsidRPr="00E85C8C" w:rsidRDefault="00976610" w:rsidP="00D60720">
      <w:pPr>
        <w:spacing w:line="360" w:lineRule="auto"/>
        <w:jc w:val="both"/>
        <w:rPr>
          <w:rFonts w:ascii="Arial" w:eastAsia="Arial" w:hAnsi="Arial" w:cs="Arial"/>
        </w:rPr>
      </w:pPr>
    </w:p>
    <w:p w14:paraId="5A2F16B9" w14:textId="77777777" w:rsidR="00976610" w:rsidRPr="00E85C8C" w:rsidRDefault="00976610" w:rsidP="00D60720">
      <w:pPr>
        <w:spacing w:line="360" w:lineRule="auto"/>
        <w:jc w:val="both"/>
        <w:rPr>
          <w:rFonts w:ascii="Arial" w:eastAsia="Arial" w:hAnsi="Arial" w:cs="Arial"/>
        </w:rPr>
      </w:pPr>
      <w:r w:rsidRPr="00E85C8C">
        <w:rPr>
          <w:rFonts w:ascii="Arial" w:eastAsia="Arial" w:hAnsi="Arial" w:cs="Arial"/>
        </w:rPr>
        <w:t>Por las razones antes expuestas, se somete a su consideración y, en su caso, aprobación por ese Honorable Congreso del Estado la presente Iniciativa con Proyecto de:</w:t>
      </w:r>
    </w:p>
    <w:p w14:paraId="4C7D2522" w14:textId="77777777" w:rsidR="00AF664D" w:rsidRPr="00E85C8C" w:rsidRDefault="00AF664D" w:rsidP="00D60720">
      <w:pPr>
        <w:spacing w:line="360" w:lineRule="auto"/>
        <w:rPr>
          <w:rFonts w:ascii="Arial" w:eastAsia="Arial" w:hAnsi="Arial" w:cs="Arial"/>
          <w:b/>
        </w:rPr>
      </w:pPr>
    </w:p>
    <w:p w14:paraId="78065D31"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DECRETO QUE CONTIENE EL PRESUPUESTO DE EGRESOS DEL GOBIERNO DEL ESTADO DE MICHOACÁN DE OCAMPO,</w:t>
      </w:r>
    </w:p>
    <w:p w14:paraId="27322AD2" w14:textId="7786DC20"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 xml:space="preserve"> PARA EL EJERCICIO FISCAL 202</w:t>
      </w:r>
      <w:r>
        <w:rPr>
          <w:rFonts w:ascii="Arial" w:eastAsia="Arial" w:hAnsi="Arial" w:cs="Arial"/>
          <w:b/>
        </w:rPr>
        <w:t>6</w:t>
      </w:r>
    </w:p>
    <w:p w14:paraId="4AA1843E" w14:textId="77777777" w:rsidR="00AF664D" w:rsidRPr="00E85C8C" w:rsidRDefault="00AF664D" w:rsidP="00D60720">
      <w:pPr>
        <w:spacing w:line="360" w:lineRule="auto"/>
        <w:jc w:val="center"/>
        <w:rPr>
          <w:rFonts w:ascii="Arial" w:eastAsia="Arial" w:hAnsi="Arial" w:cs="Arial"/>
          <w:b/>
        </w:rPr>
      </w:pPr>
    </w:p>
    <w:p w14:paraId="315B2314"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TÍTULO PRIMERO</w:t>
      </w:r>
    </w:p>
    <w:p w14:paraId="105D86F7" w14:textId="77777777" w:rsidR="00AF664D" w:rsidRPr="00E85C8C" w:rsidRDefault="00AF664D" w:rsidP="00D60720">
      <w:pPr>
        <w:spacing w:line="360" w:lineRule="auto"/>
        <w:jc w:val="center"/>
        <w:rPr>
          <w:rFonts w:ascii="Arial" w:eastAsia="Arial" w:hAnsi="Arial" w:cs="Arial"/>
          <w:b/>
        </w:rPr>
      </w:pPr>
    </w:p>
    <w:p w14:paraId="6F0F7D41"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w:t>
      </w:r>
    </w:p>
    <w:p w14:paraId="40452A6A"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DISPOSICIONES GENERALES</w:t>
      </w:r>
    </w:p>
    <w:p w14:paraId="3878EB77" w14:textId="77777777" w:rsidR="00AF664D" w:rsidRPr="00E85C8C" w:rsidRDefault="00AF664D" w:rsidP="00D60720">
      <w:pPr>
        <w:spacing w:line="360" w:lineRule="auto"/>
        <w:jc w:val="center"/>
        <w:rPr>
          <w:rFonts w:ascii="Arial" w:eastAsia="Arial" w:hAnsi="Arial" w:cs="Arial"/>
          <w:b/>
        </w:rPr>
      </w:pPr>
    </w:p>
    <w:p w14:paraId="11EE0E99" w14:textId="57A7F558" w:rsidR="00AF664D" w:rsidRDefault="00AF664D" w:rsidP="00D60720">
      <w:pPr>
        <w:spacing w:line="360" w:lineRule="auto"/>
        <w:jc w:val="both"/>
        <w:rPr>
          <w:rFonts w:ascii="Arial" w:eastAsia="Arial" w:hAnsi="Arial" w:cs="Arial"/>
        </w:rPr>
      </w:pPr>
      <w:r w:rsidRPr="00E85C8C">
        <w:rPr>
          <w:rFonts w:ascii="Arial" w:eastAsia="Arial" w:hAnsi="Arial" w:cs="Arial"/>
          <w:b/>
        </w:rPr>
        <w:t>Artículo 1°</w:t>
      </w:r>
      <w:r w:rsidRPr="00E85C8C">
        <w:rPr>
          <w:rFonts w:ascii="Arial" w:eastAsia="Arial" w:hAnsi="Arial" w:cs="Arial"/>
        </w:rPr>
        <w:t xml:space="preserve">. El presente Decreto tiene por objeto regular la asignación, ejercicio, control y evaluación del gasto público del Poder Ejecutivo para el Ejercicio Fiscal </w:t>
      </w:r>
      <w:r w:rsidR="00180A62">
        <w:rPr>
          <w:rFonts w:ascii="Arial" w:eastAsia="Arial" w:hAnsi="Arial" w:cs="Arial"/>
        </w:rPr>
        <w:t>2026</w:t>
      </w:r>
      <w:r w:rsidR="00180A62" w:rsidRPr="00E85C8C">
        <w:rPr>
          <w:rFonts w:ascii="Arial" w:eastAsia="Arial" w:hAnsi="Arial" w:cs="Arial"/>
        </w:rPr>
        <w:t xml:space="preserve"> </w:t>
      </w:r>
      <w:r w:rsidRPr="00E85C8C">
        <w:rPr>
          <w:rFonts w:ascii="Arial" w:eastAsia="Arial" w:hAnsi="Arial" w:cs="Arial"/>
        </w:rPr>
        <w:t>de conformidad con la</w:t>
      </w:r>
      <w:r>
        <w:rPr>
          <w:rFonts w:ascii="Arial" w:eastAsia="Arial" w:hAnsi="Arial" w:cs="Arial"/>
        </w:rPr>
        <w:t xml:space="preserve"> Ley de Coordinación Fiscal;</w:t>
      </w:r>
      <w:r w:rsidRPr="00E85C8C">
        <w:rPr>
          <w:rFonts w:ascii="Arial" w:eastAsia="Arial" w:hAnsi="Arial" w:cs="Arial"/>
        </w:rPr>
        <w:t xml:space="preserve"> Ley Genera</w:t>
      </w:r>
      <w:r>
        <w:rPr>
          <w:rFonts w:ascii="Arial" w:eastAsia="Arial" w:hAnsi="Arial" w:cs="Arial"/>
        </w:rPr>
        <w:t>l de Contabilidad Gubernamental;</w:t>
      </w:r>
      <w:r w:rsidRPr="00E85C8C">
        <w:rPr>
          <w:rFonts w:ascii="Arial" w:eastAsia="Arial" w:hAnsi="Arial" w:cs="Arial"/>
        </w:rPr>
        <w:t xml:space="preserve"> Ley de Disciplina Financiera de las Entidad</w:t>
      </w:r>
      <w:r>
        <w:rPr>
          <w:rFonts w:ascii="Arial" w:eastAsia="Arial" w:hAnsi="Arial" w:cs="Arial"/>
        </w:rPr>
        <w:t>es Federativas y los Municipios;</w:t>
      </w:r>
      <w:r w:rsidRPr="00E85C8C">
        <w:rPr>
          <w:rFonts w:ascii="Arial" w:eastAsia="Arial" w:hAnsi="Arial" w:cs="Arial"/>
        </w:rPr>
        <w:t xml:space="preserve"> Ley de Planeación Hacendaria, Presupuesto, Gasto Público y Contabilidad Gubernamental del Estado de Michoacán de Ocampo</w:t>
      </w:r>
      <w:r>
        <w:rPr>
          <w:rFonts w:ascii="Arial" w:eastAsia="Arial" w:hAnsi="Arial" w:cs="Arial"/>
        </w:rPr>
        <w:t>;</w:t>
      </w:r>
      <w:r w:rsidRPr="00E85C8C">
        <w:rPr>
          <w:rFonts w:ascii="Arial" w:eastAsia="Arial" w:hAnsi="Arial" w:cs="Arial"/>
        </w:rPr>
        <w:t xml:space="preserve"> Ley de Coordinación Fiscal del Estado de Michoacán de Ocampo</w:t>
      </w:r>
      <w:r>
        <w:rPr>
          <w:rFonts w:ascii="Arial" w:eastAsia="Arial" w:hAnsi="Arial" w:cs="Arial"/>
        </w:rPr>
        <w:t>;</w:t>
      </w:r>
      <w:r w:rsidRPr="00E85C8C">
        <w:rPr>
          <w:rFonts w:ascii="Arial" w:eastAsia="Arial" w:hAnsi="Arial" w:cs="Arial"/>
        </w:rPr>
        <w:t xml:space="preserve"> Ley de Deuda Pública para el Estado de Michoacán de Ocampo y sus Municipios</w:t>
      </w:r>
      <w:r>
        <w:rPr>
          <w:rFonts w:ascii="Arial" w:eastAsia="Arial" w:hAnsi="Arial" w:cs="Arial"/>
        </w:rPr>
        <w:t>;</w:t>
      </w:r>
      <w:r w:rsidRPr="00E85C8C">
        <w:rPr>
          <w:rFonts w:ascii="Arial" w:eastAsia="Arial" w:hAnsi="Arial" w:cs="Arial"/>
        </w:rPr>
        <w:t xml:space="preserve"> Ley de Remuneraciones de los Servidores Públicos del Estado de Michoacán de Ocampo</w:t>
      </w:r>
      <w:r>
        <w:rPr>
          <w:rFonts w:ascii="Arial" w:eastAsia="Arial" w:hAnsi="Arial" w:cs="Arial"/>
        </w:rPr>
        <w:t>;</w:t>
      </w:r>
      <w:r w:rsidRPr="00E85C8C">
        <w:rPr>
          <w:rFonts w:ascii="Arial" w:eastAsia="Arial" w:hAnsi="Arial" w:cs="Arial"/>
        </w:rPr>
        <w:t xml:space="preserve"> Ley de Fiscalización Superior y Rendición de Cuentas del Estado de Michoacán de Ocampo</w:t>
      </w:r>
      <w:r>
        <w:rPr>
          <w:rFonts w:ascii="Arial" w:eastAsia="Arial" w:hAnsi="Arial" w:cs="Arial"/>
        </w:rPr>
        <w:t>;</w:t>
      </w:r>
      <w:r w:rsidRPr="00E85C8C">
        <w:rPr>
          <w:rFonts w:ascii="Arial" w:eastAsia="Arial" w:hAnsi="Arial" w:cs="Arial"/>
        </w:rPr>
        <w:t xml:space="preserve"> Ley de Adquisiciones, Arrendamientos y Prestación de Servicios Relacionados con Bienes Muebles e Inmueble (SIC) de</w:t>
      </w:r>
      <w:r>
        <w:rPr>
          <w:rFonts w:ascii="Arial" w:eastAsia="Arial" w:hAnsi="Arial" w:cs="Arial"/>
        </w:rPr>
        <w:t>l Estado de Michoacán de Ocampo;</w:t>
      </w:r>
      <w:r w:rsidRPr="00E85C8C">
        <w:rPr>
          <w:rFonts w:ascii="Arial" w:eastAsia="Arial" w:hAnsi="Arial" w:cs="Arial"/>
        </w:rPr>
        <w:t xml:space="preserve"> Ley de Obra Pública y Servicios relacionados con la Misma para el Estado de Michoacán de Ocampo y sus Municipios</w:t>
      </w:r>
      <w:r>
        <w:rPr>
          <w:rFonts w:ascii="Arial" w:eastAsia="Arial" w:hAnsi="Arial" w:cs="Arial"/>
        </w:rPr>
        <w:t>;</w:t>
      </w:r>
      <w:r w:rsidRPr="00E85C8C">
        <w:rPr>
          <w:rFonts w:ascii="Arial" w:eastAsia="Arial" w:hAnsi="Arial" w:cs="Arial"/>
        </w:rPr>
        <w:t xml:space="preserve"> y las demás disposiciones aplicables a la materia.</w:t>
      </w:r>
    </w:p>
    <w:p w14:paraId="74B2B94D" w14:textId="77777777" w:rsidR="00AF664D" w:rsidRDefault="00AF664D" w:rsidP="00D60720">
      <w:pPr>
        <w:spacing w:line="360" w:lineRule="auto"/>
        <w:jc w:val="both"/>
        <w:rPr>
          <w:rFonts w:ascii="Arial" w:eastAsia="Arial" w:hAnsi="Arial" w:cs="Arial"/>
        </w:rPr>
      </w:pPr>
    </w:p>
    <w:p w14:paraId="077BC83F"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En la ejecución del gasto público las Dependencias y Entidades, deberán considerar como único eje articulador el Plan de Desarrollo Integral del Estado de Michoacán 2021-2027 tomando en cuenta los compromisos, los objetivos y las metas contenidas en el mismo.</w:t>
      </w:r>
    </w:p>
    <w:p w14:paraId="32BDC35F" w14:textId="77777777" w:rsidR="00AF664D" w:rsidRPr="00E85C8C" w:rsidRDefault="00AF664D" w:rsidP="00D60720">
      <w:pPr>
        <w:spacing w:line="360" w:lineRule="auto"/>
        <w:jc w:val="both"/>
        <w:rPr>
          <w:rFonts w:ascii="Arial" w:eastAsia="Arial" w:hAnsi="Arial" w:cs="Arial"/>
        </w:rPr>
      </w:pPr>
    </w:p>
    <w:p w14:paraId="34FCECFA"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Será responsabilidad de la Secretaría de Finanzas y Administración y de la Secretaría de Contraloría, en el ámbito de sus respectivas competencias, cumplir y hacer cumplir las disposiciones establecidas en el presente Decreto, así como determinar las normas y procedimientos administrativos tendientes a armonizar, transparentar, racionalizar y llevar a cabo un mejor control de gasto público.</w:t>
      </w:r>
    </w:p>
    <w:p w14:paraId="661C0803" w14:textId="77777777" w:rsidR="00AF664D" w:rsidRPr="00E85C8C" w:rsidRDefault="00AF664D" w:rsidP="00D60720">
      <w:pPr>
        <w:spacing w:line="360" w:lineRule="auto"/>
        <w:jc w:val="both"/>
        <w:rPr>
          <w:rFonts w:ascii="Arial" w:eastAsia="Arial" w:hAnsi="Arial" w:cs="Arial"/>
        </w:rPr>
      </w:pPr>
    </w:p>
    <w:p w14:paraId="5C6C4915" w14:textId="77777777" w:rsidR="00AF664D" w:rsidRPr="00E85C8C" w:rsidRDefault="00AF664D" w:rsidP="00D60720">
      <w:pPr>
        <w:spacing w:line="360" w:lineRule="auto"/>
        <w:jc w:val="both"/>
        <w:rPr>
          <w:rFonts w:ascii="Arial" w:hAnsi="Arial" w:cs="Arial"/>
        </w:rPr>
      </w:pPr>
      <w:r w:rsidRPr="00E85C8C">
        <w:rPr>
          <w:rFonts w:ascii="Arial" w:hAnsi="Arial" w:cs="Arial"/>
          <w:b/>
          <w:bCs/>
        </w:rPr>
        <w:t>Artículo 2.</w:t>
      </w:r>
      <w:r w:rsidRPr="00E85C8C">
        <w:rPr>
          <w:rFonts w:ascii="Arial" w:hAnsi="Arial" w:cs="Arial"/>
        </w:rPr>
        <w:t xml:space="preserve"> Para los efectos del presente Decreto y ejecución del presupuesto se entenderá por:</w:t>
      </w:r>
    </w:p>
    <w:p w14:paraId="413C9D58" w14:textId="77777777" w:rsidR="00AF664D" w:rsidRPr="00E85C8C" w:rsidRDefault="00AF664D" w:rsidP="00D60720">
      <w:pPr>
        <w:spacing w:line="360" w:lineRule="auto"/>
        <w:jc w:val="both"/>
        <w:rPr>
          <w:rFonts w:ascii="Arial" w:hAnsi="Arial" w:cs="Arial"/>
          <w:b/>
          <w:bCs/>
        </w:rPr>
      </w:pPr>
    </w:p>
    <w:p w14:paraId="4D6D1654"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Adecuaciones Presupuestarias.</w:t>
      </w:r>
      <w:r w:rsidRPr="00F25EB2">
        <w:rPr>
          <w:rFonts w:ascii="Arial" w:hAnsi="Arial" w:cs="Arial"/>
        </w:rPr>
        <w:t xml:space="preserve"> Las modificaciones a los calendarios presupuestales, los cambios en las fuentes de financiamiento, las ampliaciones y reducciones al Presupuesto de Egresos del Estado.</w:t>
      </w:r>
    </w:p>
    <w:p w14:paraId="6CFE7ACA" w14:textId="77777777" w:rsidR="00AF664D" w:rsidRPr="00E85C8C" w:rsidRDefault="00AF664D" w:rsidP="00D60720">
      <w:pPr>
        <w:pStyle w:val="Prrafodelista"/>
        <w:spacing w:line="360" w:lineRule="auto"/>
        <w:ind w:left="1287"/>
        <w:jc w:val="both"/>
        <w:rPr>
          <w:rFonts w:ascii="Arial" w:hAnsi="Arial" w:cs="Arial"/>
        </w:rPr>
      </w:pPr>
    </w:p>
    <w:p w14:paraId="79B99542"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ADEFAS.</w:t>
      </w:r>
      <w:r w:rsidRPr="00F25EB2">
        <w:rPr>
          <w:rFonts w:ascii="Arial" w:hAnsi="Arial" w:cs="Arial"/>
        </w:rPr>
        <w:t xml:space="preserve"> Asignaciones destinadas a cubrir las erogaciones devengadas y pendientes de liquidar al cierre del ejercicio fiscal anterior, derivadas de la contratación de bienes y servicios requeridos en el desempeño de las funciones de los entes.</w:t>
      </w:r>
    </w:p>
    <w:p w14:paraId="5FA00B2C" w14:textId="77777777" w:rsidR="00AF664D" w:rsidRPr="00E85C8C" w:rsidRDefault="00AF664D" w:rsidP="00D60720">
      <w:pPr>
        <w:pStyle w:val="Prrafodelista"/>
        <w:spacing w:line="360" w:lineRule="auto"/>
        <w:ind w:left="1287"/>
        <w:jc w:val="both"/>
        <w:rPr>
          <w:rFonts w:ascii="Arial" w:hAnsi="Arial" w:cs="Arial"/>
        </w:rPr>
      </w:pPr>
    </w:p>
    <w:p w14:paraId="19D97D1D"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Asignaciones Presupuestales.</w:t>
      </w:r>
      <w:r w:rsidRPr="00F25EB2">
        <w:rPr>
          <w:rFonts w:ascii="Arial" w:hAnsi="Arial" w:cs="Arial"/>
        </w:rPr>
        <w:t xml:space="preserve"> Al monto de los recursos públicos aprobados por el Congreso, mediante el presente Decreto de Presupuesto de Egresos del Estado.</w:t>
      </w:r>
    </w:p>
    <w:p w14:paraId="47A18B1D" w14:textId="77777777" w:rsidR="00AF664D" w:rsidRPr="00E85C8C" w:rsidRDefault="00AF664D" w:rsidP="00D60720">
      <w:pPr>
        <w:pStyle w:val="Prrafodelista"/>
        <w:spacing w:line="360" w:lineRule="auto"/>
        <w:ind w:left="1287"/>
        <w:jc w:val="both"/>
        <w:rPr>
          <w:rFonts w:ascii="Arial" w:hAnsi="Arial" w:cs="Arial"/>
        </w:rPr>
      </w:pPr>
    </w:p>
    <w:p w14:paraId="1B62BF9D"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Dependencias y Entidades.</w:t>
      </w:r>
      <w:r w:rsidRPr="00F25EB2">
        <w:rPr>
          <w:rFonts w:ascii="Arial" w:hAnsi="Arial" w:cs="Arial"/>
        </w:rPr>
        <w:t xml:space="preserve"> Aquellas a las que se refieren los artículos 17 y 37 de la Ley Orgánica de la Administración Pública del Estado de Michoacán de Ocampo. </w:t>
      </w:r>
    </w:p>
    <w:p w14:paraId="365DA8FA" w14:textId="77777777" w:rsidR="00AF664D" w:rsidRPr="00E85C8C" w:rsidRDefault="00AF664D" w:rsidP="00D60720">
      <w:pPr>
        <w:pStyle w:val="Prrafodelista"/>
        <w:spacing w:line="360" w:lineRule="auto"/>
        <w:ind w:left="1287"/>
        <w:jc w:val="both"/>
        <w:rPr>
          <w:rFonts w:ascii="Arial" w:hAnsi="Arial" w:cs="Arial"/>
        </w:rPr>
      </w:pPr>
    </w:p>
    <w:p w14:paraId="4228487A"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Economías o Ahorros Presupuestarios.</w:t>
      </w:r>
      <w:r w:rsidRPr="00F25EB2">
        <w:rPr>
          <w:rFonts w:ascii="Arial" w:hAnsi="Arial" w:cs="Arial"/>
        </w:rPr>
        <w:t xml:space="preserve"> Los remanentes de recursos públicos del Presupuesto de Egresos del Estado no comprometidos y devengados al término del Ejercicio Fiscal; así como los ahorros realizados en un periodo determinado.</w:t>
      </w:r>
    </w:p>
    <w:p w14:paraId="1E713901" w14:textId="77777777" w:rsidR="00AF664D" w:rsidRPr="00E85C8C" w:rsidRDefault="00AF664D" w:rsidP="00D60720">
      <w:pPr>
        <w:pStyle w:val="Prrafodelista"/>
        <w:spacing w:line="360" w:lineRule="auto"/>
        <w:ind w:left="1287"/>
        <w:jc w:val="both"/>
        <w:rPr>
          <w:rFonts w:ascii="Arial" w:hAnsi="Arial" w:cs="Arial"/>
        </w:rPr>
      </w:pPr>
    </w:p>
    <w:p w14:paraId="78A4962E"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Ejecutoras del Gasto.</w:t>
      </w:r>
      <w:r w:rsidRPr="00F25EB2">
        <w:rPr>
          <w:rFonts w:ascii="Arial" w:hAnsi="Arial" w:cs="Arial"/>
        </w:rPr>
        <w:t xml:space="preserve"> Los Poderes Legislativo, Ejecutivo y Judicial del Estado, los Municipios, los órganos autónomos y las Entidades de la Administración Pública del Estado de Michoacán de Ocampo, así como cualquier otro ente sobre el que el Estado y los Municipios tengan control sobre sus decisiones o acciones.</w:t>
      </w:r>
    </w:p>
    <w:p w14:paraId="5D22531A" w14:textId="77777777" w:rsidR="00AF664D" w:rsidRPr="00E85C8C" w:rsidRDefault="00AF664D" w:rsidP="00D60720">
      <w:pPr>
        <w:pStyle w:val="Prrafodelista"/>
        <w:spacing w:line="360" w:lineRule="auto"/>
        <w:ind w:left="1287"/>
        <w:jc w:val="both"/>
        <w:rPr>
          <w:rFonts w:ascii="Arial" w:hAnsi="Arial" w:cs="Arial"/>
        </w:rPr>
      </w:pPr>
    </w:p>
    <w:p w14:paraId="08DAF7F9"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Entes con Autonomía de Gestión</w:t>
      </w:r>
      <w:r w:rsidRPr="00F25EB2">
        <w:rPr>
          <w:rFonts w:ascii="Arial" w:hAnsi="Arial" w:cs="Arial"/>
        </w:rPr>
        <w:t>. Los Poderes Legislativo y Judicial, Organismos Autónomos, Entidades de la Administración Pública Estatal, los Ayuntamientos y los Fideicomisos Públicos.</w:t>
      </w:r>
    </w:p>
    <w:p w14:paraId="5367B1AB" w14:textId="77777777" w:rsidR="00AF664D" w:rsidRPr="00E85C8C" w:rsidRDefault="00AF664D" w:rsidP="00D60720">
      <w:pPr>
        <w:pStyle w:val="Prrafodelista"/>
        <w:spacing w:line="360" w:lineRule="auto"/>
        <w:ind w:left="1287"/>
        <w:jc w:val="both"/>
        <w:rPr>
          <w:rFonts w:ascii="Arial" w:hAnsi="Arial" w:cs="Arial"/>
        </w:rPr>
      </w:pPr>
    </w:p>
    <w:p w14:paraId="4C17DF63"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Gasto Devengado.</w:t>
      </w:r>
      <w:r w:rsidRPr="00F25EB2">
        <w:rPr>
          <w:rFonts w:ascii="Arial" w:hAnsi="Arial" w:cs="Arial"/>
        </w:rPr>
        <w:t xml:space="preserve"> El momento contable del gasto que refleja el reconocimiento de una obligación de pago a favor de terceros por la recepción de conformidad de bienes, servicios y obras oportunamente contratados; así como de las obligaciones que derivan de tratados, leyes, decretos, resoluciones y sentencias definitivas.</w:t>
      </w:r>
    </w:p>
    <w:p w14:paraId="4AE1B2E1" w14:textId="77777777" w:rsidR="00AF664D" w:rsidRPr="00E85C8C" w:rsidRDefault="00AF664D" w:rsidP="00D60720">
      <w:pPr>
        <w:pStyle w:val="Prrafodelista"/>
        <w:spacing w:line="360" w:lineRule="auto"/>
        <w:ind w:left="1287"/>
        <w:jc w:val="both"/>
        <w:rPr>
          <w:rFonts w:ascii="Arial" w:hAnsi="Arial" w:cs="Arial"/>
        </w:rPr>
      </w:pPr>
    </w:p>
    <w:p w14:paraId="4F983A61"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Ingresos Excedentes.</w:t>
      </w:r>
      <w:r w:rsidRPr="00F25EB2">
        <w:rPr>
          <w:rFonts w:ascii="Arial" w:hAnsi="Arial" w:cs="Arial"/>
        </w:rPr>
        <w:t xml:space="preserve"> Los recursos públicos que durante el Ejercicio Fiscal se obtienen adicionalmente a los aprobados en la Ley de Ingresos del Estado.</w:t>
      </w:r>
    </w:p>
    <w:p w14:paraId="1E047082" w14:textId="77777777" w:rsidR="00AF664D" w:rsidRPr="00E85C8C" w:rsidRDefault="00AF664D" w:rsidP="00D60720">
      <w:pPr>
        <w:pStyle w:val="Prrafodelista"/>
        <w:spacing w:line="360" w:lineRule="auto"/>
        <w:ind w:left="1287"/>
        <w:jc w:val="both"/>
        <w:rPr>
          <w:rFonts w:ascii="Arial" w:hAnsi="Arial" w:cs="Arial"/>
        </w:rPr>
      </w:pPr>
    </w:p>
    <w:p w14:paraId="2B5CF9D4"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Recursos Financieros.</w:t>
      </w:r>
      <w:r w:rsidRPr="00F25EB2">
        <w:rPr>
          <w:rFonts w:ascii="Arial" w:hAnsi="Arial" w:cs="Arial"/>
        </w:rPr>
        <w:t xml:space="preserve"> Liquidez de flujo de efectivo con la cual cuenta una Entidad Federativa, Municipio o cualquier orden de gobierno para hacer frente a una obligación de pago.</w:t>
      </w:r>
    </w:p>
    <w:p w14:paraId="28E90240" w14:textId="77777777" w:rsidR="00AF664D" w:rsidRPr="00E85C8C" w:rsidRDefault="00AF664D" w:rsidP="00D60720">
      <w:pPr>
        <w:pStyle w:val="Prrafodelista"/>
        <w:spacing w:line="360" w:lineRule="auto"/>
        <w:ind w:left="1287"/>
        <w:jc w:val="both"/>
        <w:rPr>
          <w:rFonts w:ascii="Arial" w:hAnsi="Arial" w:cs="Arial"/>
        </w:rPr>
      </w:pPr>
    </w:p>
    <w:p w14:paraId="0E0808A0"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UMA.</w:t>
      </w:r>
      <w:r w:rsidRPr="00F25EB2">
        <w:rPr>
          <w:rFonts w:ascii="Arial" w:hAnsi="Arial" w:cs="Arial"/>
        </w:rPr>
        <w:t xml:space="preserve"> Unidad de Medida y Actualización, referencia económica en pesos para determinar la cuantía del pago de las obligaciones y supuestos previstos en las leyes federales, de las entidades federativas, así como en las disposiciones jurídicas que emanen de todas las anteriores.</w:t>
      </w:r>
    </w:p>
    <w:p w14:paraId="653F9E84" w14:textId="77777777" w:rsidR="00AF664D" w:rsidRPr="00E85C8C" w:rsidRDefault="00AF664D" w:rsidP="00D60720">
      <w:pPr>
        <w:pStyle w:val="Prrafodelista"/>
        <w:spacing w:line="360" w:lineRule="auto"/>
        <w:ind w:left="1287"/>
        <w:jc w:val="both"/>
        <w:rPr>
          <w:rFonts w:ascii="Arial" w:hAnsi="Arial" w:cs="Arial"/>
        </w:rPr>
      </w:pPr>
    </w:p>
    <w:p w14:paraId="54B1173A"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Unidad Programática Presupuestaria (UPP).</w:t>
      </w:r>
      <w:r w:rsidRPr="00F25EB2">
        <w:rPr>
          <w:rFonts w:ascii="Arial" w:hAnsi="Arial" w:cs="Arial"/>
        </w:rPr>
        <w:t xml:space="preserve"> Cada una de las UPP’S Ejecutoras del Gasto que tienen a su cargo la encomienda de comprometer y devengar los recursos presupuestarios, humanos y materiales, e informar el uso y destino de los mismos, en cumplimiento de las disposiciones legales y reglamentarias.</w:t>
      </w:r>
    </w:p>
    <w:p w14:paraId="28D4EDC7" w14:textId="77777777" w:rsidR="00AF664D" w:rsidRPr="00E85C8C" w:rsidRDefault="00AF664D" w:rsidP="00D60720">
      <w:pPr>
        <w:pStyle w:val="Prrafodelista"/>
        <w:spacing w:line="360" w:lineRule="auto"/>
        <w:ind w:left="1287"/>
        <w:jc w:val="both"/>
        <w:rPr>
          <w:rFonts w:ascii="Arial" w:hAnsi="Arial" w:cs="Arial"/>
        </w:rPr>
      </w:pPr>
    </w:p>
    <w:p w14:paraId="0BB2BFBE" w14:textId="77777777" w:rsidR="00AF664D" w:rsidRPr="00F25EB2" w:rsidRDefault="00AF664D" w:rsidP="00D60720">
      <w:pPr>
        <w:pStyle w:val="Prrafodelista"/>
        <w:numPr>
          <w:ilvl w:val="1"/>
          <w:numId w:val="49"/>
        </w:numPr>
        <w:spacing w:line="360" w:lineRule="auto"/>
        <w:jc w:val="both"/>
        <w:rPr>
          <w:rFonts w:ascii="Arial" w:hAnsi="Arial" w:cs="Arial"/>
        </w:rPr>
      </w:pPr>
      <w:r w:rsidRPr="00F25EB2">
        <w:rPr>
          <w:rFonts w:ascii="Arial" w:hAnsi="Arial" w:cs="Arial"/>
          <w:b/>
          <w:bCs/>
        </w:rPr>
        <w:t>Unidad Responsable.</w:t>
      </w:r>
      <w:r w:rsidRPr="00F25EB2">
        <w:rPr>
          <w:rFonts w:ascii="Arial" w:hAnsi="Arial" w:cs="Arial"/>
        </w:rPr>
        <w:t xml:space="preserve"> Cada una de las unidades administrativas subordinadas de las Unidades Programáticas Presupuestarias, en las que se desconcentran el ejercicio, destino y devengo de los recursos públicos y se les encomiendan la ejecución de actividades, programas y/o proyectos para el cumplimiento de los objetivos, líneas de acción y metas establecidas en el Plan de Desarrollo Integral del Estado de Michoacán.</w:t>
      </w:r>
    </w:p>
    <w:p w14:paraId="63728455" w14:textId="77777777" w:rsidR="00AF664D" w:rsidRPr="00E85C8C" w:rsidRDefault="00AF664D" w:rsidP="00D60720">
      <w:pPr>
        <w:pStyle w:val="Prrafodelista"/>
        <w:spacing w:line="360" w:lineRule="auto"/>
        <w:ind w:left="1287"/>
        <w:jc w:val="both"/>
        <w:rPr>
          <w:rFonts w:ascii="Arial" w:hAnsi="Arial" w:cs="Arial"/>
        </w:rPr>
      </w:pPr>
    </w:p>
    <w:p w14:paraId="3B4BA671" w14:textId="77777777" w:rsidR="00AF664D" w:rsidRPr="00E85C8C" w:rsidRDefault="00AF664D" w:rsidP="00D60720">
      <w:pPr>
        <w:pStyle w:val="Prrafodelista"/>
        <w:spacing w:line="360" w:lineRule="auto"/>
        <w:ind w:left="0"/>
        <w:jc w:val="both"/>
        <w:rPr>
          <w:rFonts w:ascii="Arial" w:hAnsi="Arial" w:cs="Arial"/>
        </w:rPr>
      </w:pPr>
      <w:r w:rsidRPr="00E85C8C">
        <w:rPr>
          <w:rFonts w:ascii="Arial" w:hAnsi="Arial" w:cs="Arial"/>
        </w:rPr>
        <w:t>Cualquier otro término no contemplado en el presente artículo, se deberá entender conforme al glosario de la Ley Genera</w:t>
      </w:r>
      <w:r>
        <w:rPr>
          <w:rFonts w:ascii="Arial" w:hAnsi="Arial" w:cs="Arial"/>
        </w:rPr>
        <w:t>l de Contabilidad Gubernamental;</w:t>
      </w:r>
      <w:r w:rsidRPr="00E85C8C">
        <w:rPr>
          <w:rFonts w:ascii="Arial" w:hAnsi="Arial" w:cs="Arial"/>
        </w:rPr>
        <w:t xml:space="preserve"> Ley de Disciplina Financiera de las Entidades Federativas y los Municipios</w:t>
      </w:r>
      <w:r>
        <w:rPr>
          <w:rFonts w:ascii="Arial" w:hAnsi="Arial" w:cs="Arial"/>
        </w:rPr>
        <w:t>;</w:t>
      </w:r>
      <w:r w:rsidRPr="00E85C8C">
        <w:rPr>
          <w:rFonts w:ascii="Arial" w:hAnsi="Arial" w:cs="Arial"/>
        </w:rPr>
        <w:t xml:space="preserve"> y</w:t>
      </w:r>
      <w:r>
        <w:rPr>
          <w:rFonts w:ascii="Arial" w:hAnsi="Arial" w:cs="Arial"/>
        </w:rPr>
        <w:t>,</w:t>
      </w:r>
      <w:r w:rsidRPr="00E85C8C">
        <w:rPr>
          <w:rFonts w:ascii="Arial" w:hAnsi="Arial" w:cs="Arial"/>
        </w:rPr>
        <w:t xml:space="preserve"> las demás leyes de la materia.</w:t>
      </w:r>
    </w:p>
    <w:p w14:paraId="603D16AA" w14:textId="77777777" w:rsidR="00AF664D" w:rsidRPr="00E85C8C" w:rsidRDefault="00AF664D" w:rsidP="00D60720">
      <w:pPr>
        <w:pStyle w:val="Prrafodelista"/>
        <w:spacing w:line="360" w:lineRule="auto"/>
        <w:ind w:left="0"/>
        <w:jc w:val="both"/>
        <w:rPr>
          <w:rFonts w:ascii="Arial" w:hAnsi="Arial" w:cs="Arial"/>
        </w:rPr>
      </w:pPr>
    </w:p>
    <w:p w14:paraId="229B5AE4" w14:textId="4A2D8359" w:rsidR="00AF664D" w:rsidRPr="00E85C8C" w:rsidRDefault="00AF664D" w:rsidP="00D60720">
      <w:pPr>
        <w:pStyle w:val="Prrafodelista"/>
        <w:spacing w:line="360" w:lineRule="auto"/>
        <w:ind w:left="0"/>
        <w:jc w:val="both"/>
        <w:rPr>
          <w:rFonts w:ascii="Arial" w:hAnsi="Arial" w:cs="Arial"/>
        </w:rPr>
      </w:pPr>
      <w:r w:rsidRPr="00E85C8C">
        <w:rPr>
          <w:rFonts w:ascii="Arial" w:hAnsi="Arial" w:cs="Arial"/>
          <w:b/>
          <w:bCs/>
        </w:rPr>
        <w:t>Artículo 3.</w:t>
      </w:r>
      <w:r w:rsidRPr="00E85C8C">
        <w:rPr>
          <w:rFonts w:ascii="Arial" w:hAnsi="Arial" w:cs="Arial"/>
        </w:rPr>
        <w:t xml:space="preserve"> En la celebración y suscripción de convenios o acuerdos en los que se comprometa el patrimonio económico o el erario del Estado, será obligatoria la intervención de la Secretaría de Finanzas y Administración.</w:t>
      </w:r>
    </w:p>
    <w:p w14:paraId="3CFA9C38" w14:textId="77777777" w:rsidR="00AF664D" w:rsidRPr="00E85C8C" w:rsidRDefault="00AF664D" w:rsidP="00D60720">
      <w:pPr>
        <w:pStyle w:val="Prrafodelista"/>
        <w:spacing w:line="360" w:lineRule="auto"/>
        <w:ind w:left="0"/>
        <w:jc w:val="both"/>
        <w:rPr>
          <w:rFonts w:ascii="Arial" w:hAnsi="Arial" w:cs="Arial"/>
        </w:rPr>
      </w:pPr>
    </w:p>
    <w:p w14:paraId="7547DD71" w14:textId="617C04A9" w:rsidR="00AF664D" w:rsidRPr="00E85C8C" w:rsidRDefault="00AF664D" w:rsidP="00D60720">
      <w:pPr>
        <w:spacing w:line="360" w:lineRule="auto"/>
        <w:jc w:val="both"/>
        <w:rPr>
          <w:rFonts w:ascii="Arial" w:hAnsi="Arial" w:cs="Arial"/>
        </w:rPr>
      </w:pPr>
      <w:r w:rsidRPr="00E85C8C">
        <w:rPr>
          <w:rFonts w:ascii="Arial" w:hAnsi="Arial" w:cs="Arial"/>
          <w:b/>
          <w:bCs/>
        </w:rPr>
        <w:t>Artículo 4.</w:t>
      </w:r>
      <w:r w:rsidRPr="00E85C8C">
        <w:rPr>
          <w:rFonts w:ascii="Arial" w:hAnsi="Arial" w:cs="Arial"/>
        </w:rPr>
        <w:t xml:space="preserve"> En cumplimiento a lo dispuesto en los artículos 3 y 25, segundo párrafo, de la Constitución Política de los Estados Unidos Mexicanos; 1º, 2°, fracción VIII, 6° y 13 de la Ley de Disciplina Financiera de las Entidade</w:t>
      </w:r>
      <w:r>
        <w:rPr>
          <w:rFonts w:ascii="Arial" w:hAnsi="Arial" w:cs="Arial"/>
        </w:rPr>
        <w:t xml:space="preserve">s Federativas y los Municipios; </w:t>
      </w:r>
      <w:r w:rsidRPr="00E85C8C">
        <w:rPr>
          <w:rFonts w:ascii="Arial" w:hAnsi="Arial" w:cs="Arial"/>
        </w:rPr>
        <w:t>y</w:t>
      </w:r>
      <w:r>
        <w:rPr>
          <w:rFonts w:ascii="Arial" w:hAnsi="Arial" w:cs="Arial"/>
        </w:rPr>
        <w:t>,</w:t>
      </w:r>
      <w:r w:rsidRPr="00E85C8C">
        <w:rPr>
          <w:rFonts w:ascii="Arial" w:hAnsi="Arial" w:cs="Arial"/>
        </w:rPr>
        <w:t xml:space="preserve"> 25 de la Ley General de Educación, el Presupuesto de Egresos del Gobierno del Estado de Michoacán de Ocampo para el Ejercicio Fiscal 202</w:t>
      </w:r>
      <w:r w:rsidR="00FD5DA3">
        <w:rPr>
          <w:rFonts w:ascii="Arial" w:hAnsi="Arial" w:cs="Arial"/>
        </w:rPr>
        <w:t>6</w:t>
      </w:r>
      <w:r w:rsidRPr="00E85C8C">
        <w:rPr>
          <w:rFonts w:ascii="Arial" w:hAnsi="Arial" w:cs="Arial"/>
        </w:rPr>
        <w:t xml:space="preserve"> privilegia la estabilidad de las finanzas públicas para coadyuvar a generar condiciones favorables para el crecimiento económico y el empleo, respeta los criterios generales de responsabilidad hacendaria y financiera para un manejo responsable y sostenible de las finanzas públicas del Estado, y reconoce la obligación de concurrir en la educación pública y en los servicios educativos con el Ejecutivo Federal.</w:t>
      </w:r>
    </w:p>
    <w:p w14:paraId="610734BB" w14:textId="77777777" w:rsidR="00AF664D" w:rsidRPr="00E85C8C" w:rsidRDefault="00AF664D" w:rsidP="00D60720">
      <w:pPr>
        <w:spacing w:line="360" w:lineRule="auto"/>
        <w:jc w:val="both"/>
        <w:rPr>
          <w:rFonts w:ascii="Arial" w:hAnsi="Arial" w:cs="Arial"/>
        </w:rPr>
      </w:pPr>
    </w:p>
    <w:p w14:paraId="6C7ECD5C" w14:textId="77777777" w:rsidR="00AF664D" w:rsidRPr="00E85C8C" w:rsidRDefault="00AF664D" w:rsidP="00D60720">
      <w:pPr>
        <w:spacing w:line="360" w:lineRule="auto"/>
        <w:jc w:val="both"/>
        <w:rPr>
          <w:rFonts w:ascii="Arial" w:hAnsi="Arial" w:cs="Arial"/>
        </w:rPr>
      </w:pPr>
      <w:r w:rsidRPr="00E85C8C">
        <w:rPr>
          <w:rFonts w:ascii="Arial" w:hAnsi="Arial" w:cs="Arial"/>
        </w:rPr>
        <w:t>Para efecto de cumplir con lo señalado en el párrafo anterior, el gasto total asignado para cubrir los servicios personales y operativos de la Secretaría de Educación, Universidad Michoacana de San Nicolás de Hidalgo, Telebachillerato Michoacán, Universidad Virtual del Estado de Michoacán, Colegio de Bachilleres del Estado de Michoacán, Colegio de Educación Profesional Técnica del Estado de Michoacán, Universidad Tecnológica de Morelia, Colegio de Estudios Científicos y Tecnológicos del Estado de Michoacán, Instituto de Capacitación para el Trabajo del Estado de Michoacán, Universidad de la Ciénega del Estado de Michoacán de Ocampo, Universidad Intercultural Indígena de Michoacán, Universidad Politécnica de Uruapan, Michoacán, Universidad Politécnica del Lázaro Cárdenas, Michoacán, y Universidad Tecnológica del Oriente de Michoacán, garantiza un balance presupuestario sostenible, limitado a los recursos financieros reales del Gobierno del Estado.</w:t>
      </w:r>
    </w:p>
    <w:p w14:paraId="5799440C" w14:textId="77777777" w:rsidR="00AF664D" w:rsidRPr="00E85C8C" w:rsidRDefault="00AF664D" w:rsidP="00D60720">
      <w:pPr>
        <w:spacing w:line="360" w:lineRule="auto"/>
        <w:jc w:val="both"/>
        <w:rPr>
          <w:rFonts w:ascii="Arial" w:hAnsi="Arial" w:cs="Arial"/>
        </w:rPr>
      </w:pPr>
    </w:p>
    <w:p w14:paraId="2DD4637E" w14:textId="77777777" w:rsidR="00AF664D" w:rsidRPr="00E85C8C" w:rsidRDefault="00AF664D" w:rsidP="00D60720">
      <w:pPr>
        <w:spacing w:line="360" w:lineRule="auto"/>
        <w:jc w:val="both"/>
        <w:rPr>
          <w:rFonts w:ascii="Arial" w:hAnsi="Arial" w:cs="Arial"/>
        </w:rPr>
      </w:pPr>
      <w:r w:rsidRPr="00E85C8C">
        <w:rPr>
          <w:rFonts w:ascii="Arial" w:hAnsi="Arial" w:cs="Arial"/>
        </w:rPr>
        <w:t>Lo anterior sin perjuicio de la obligación a cargo del Gobierno del Estado de garantizar en todo momento, en el ámbito de su competencia y en la medida de sus posibilidades, el derecho de toda persona a recibir educación; así como el cumplimiento de la obligación, compartida con la Federación y Municipios, de impartir educación preescolar, primaria, secundaria, media superior y superior.</w:t>
      </w:r>
    </w:p>
    <w:p w14:paraId="47F9982A" w14:textId="77777777" w:rsidR="00AF664D" w:rsidRPr="00E85C8C" w:rsidRDefault="00AF664D" w:rsidP="00D60720">
      <w:pPr>
        <w:spacing w:line="360" w:lineRule="auto"/>
        <w:jc w:val="both"/>
        <w:rPr>
          <w:rFonts w:ascii="Arial" w:hAnsi="Arial" w:cs="Arial"/>
        </w:rPr>
      </w:pPr>
    </w:p>
    <w:p w14:paraId="4D4F505C" w14:textId="77777777" w:rsidR="00AF664D" w:rsidRPr="00E85C8C" w:rsidRDefault="00AF664D" w:rsidP="00D60720">
      <w:pPr>
        <w:spacing w:line="360" w:lineRule="auto"/>
        <w:jc w:val="both"/>
        <w:rPr>
          <w:rFonts w:ascii="Arial" w:hAnsi="Arial" w:cs="Arial"/>
        </w:rPr>
      </w:pPr>
      <w:r w:rsidRPr="00E85C8C">
        <w:rPr>
          <w:rFonts w:ascii="Arial" w:hAnsi="Arial" w:cs="Arial"/>
          <w:b/>
          <w:bCs/>
        </w:rPr>
        <w:t>Artículo 5.</w:t>
      </w:r>
      <w:r w:rsidRPr="00E85C8C">
        <w:rPr>
          <w:rFonts w:ascii="Arial" w:hAnsi="Arial" w:cs="Arial"/>
        </w:rPr>
        <w:t xml:space="preserve"> Las Unidades Responsables subordinadas de las UPP’S, que tienen bajo su cargo la encomienda de ejecutar y devengar recursos públicos, queda bajo su más estricta responsabilidad la aplicación de estos, además son responsables del contenido, veracidad, autenticidad y resguardo de la documentación comprobatoria del gasto incurrido, así como de la información financiera y presupuestal que presenten ante la Secretaría de Finanzas y Administración. Queda prohibido vincular a la Secretaría de Finanzas y Administración en los informes sobre el destino y resultados obtenidos de la aplicación de los recursos otorgados a las Unidades responsables.</w:t>
      </w:r>
    </w:p>
    <w:p w14:paraId="76CAAFBC" w14:textId="77777777" w:rsidR="00AF664D" w:rsidRPr="00E85C8C" w:rsidRDefault="00AF664D" w:rsidP="00D60720">
      <w:pPr>
        <w:spacing w:line="360" w:lineRule="auto"/>
        <w:jc w:val="both"/>
        <w:rPr>
          <w:rFonts w:ascii="Arial" w:hAnsi="Arial" w:cs="Arial"/>
        </w:rPr>
      </w:pPr>
    </w:p>
    <w:p w14:paraId="58C4C917" w14:textId="77777777" w:rsidR="00AF664D" w:rsidRPr="00E85C8C" w:rsidRDefault="00AF664D" w:rsidP="00D60720">
      <w:pPr>
        <w:spacing w:line="360" w:lineRule="auto"/>
        <w:jc w:val="both"/>
        <w:rPr>
          <w:rFonts w:ascii="Arial" w:hAnsi="Arial" w:cs="Arial"/>
        </w:rPr>
      </w:pPr>
      <w:r w:rsidRPr="00E85C8C">
        <w:rPr>
          <w:rFonts w:ascii="Arial" w:hAnsi="Arial" w:cs="Arial"/>
          <w:b/>
          <w:bCs/>
        </w:rPr>
        <w:t>Artículo 6.</w:t>
      </w:r>
      <w:r w:rsidRPr="00E85C8C">
        <w:rPr>
          <w:rFonts w:ascii="Arial" w:hAnsi="Arial" w:cs="Arial"/>
        </w:rPr>
        <w:t xml:space="preserve"> La interpretación del presente Decreto es competencia de la Secretaría de Finanzas y Administración, en el ámbito de sus atribuciones.</w:t>
      </w:r>
    </w:p>
    <w:p w14:paraId="106352B2" w14:textId="77777777" w:rsidR="00AF664D" w:rsidRPr="00E85C8C" w:rsidRDefault="00AF664D" w:rsidP="00D60720">
      <w:pPr>
        <w:spacing w:line="360" w:lineRule="auto"/>
        <w:jc w:val="both"/>
        <w:rPr>
          <w:rFonts w:ascii="Arial" w:hAnsi="Arial" w:cs="Arial"/>
        </w:rPr>
      </w:pPr>
    </w:p>
    <w:p w14:paraId="4D683A40" w14:textId="77777777" w:rsidR="00AF664D" w:rsidRPr="00E85C8C" w:rsidRDefault="00AF664D" w:rsidP="00D60720">
      <w:pPr>
        <w:spacing w:line="360" w:lineRule="auto"/>
        <w:jc w:val="both"/>
        <w:rPr>
          <w:rFonts w:ascii="Arial" w:hAnsi="Arial" w:cs="Arial"/>
        </w:rPr>
      </w:pPr>
      <w:r w:rsidRPr="00E85C8C">
        <w:rPr>
          <w:rFonts w:ascii="Arial" w:hAnsi="Arial" w:cs="Arial"/>
          <w:b/>
          <w:bCs/>
        </w:rPr>
        <w:t>Artículo 7.</w:t>
      </w:r>
      <w:r w:rsidRPr="00E85C8C">
        <w:rPr>
          <w:rFonts w:ascii="Arial" w:hAnsi="Arial" w:cs="Arial"/>
        </w:rPr>
        <w:t xml:space="preserve"> Una vez transferidos los recursos a las UPP’S, será responsabilidad de los titulares de éstas vigilar que los mismos sean aplicados por las Unidades Responsables adscritas a ellas, estrictamente en los fines específicos para los que fueron autorizados, quedando bajo su total responsabilidad la debida aplicación de los mismos.</w:t>
      </w:r>
    </w:p>
    <w:p w14:paraId="328F7CF2" w14:textId="77777777" w:rsidR="00AF664D" w:rsidRPr="00E85C8C" w:rsidRDefault="00AF664D" w:rsidP="00D60720">
      <w:pPr>
        <w:spacing w:line="360" w:lineRule="auto"/>
        <w:jc w:val="both"/>
        <w:rPr>
          <w:rFonts w:ascii="Arial" w:hAnsi="Arial" w:cs="Arial"/>
        </w:rPr>
      </w:pPr>
    </w:p>
    <w:p w14:paraId="45B925A2" w14:textId="77777777" w:rsidR="00AF664D" w:rsidRPr="00E85C8C" w:rsidRDefault="00AF664D" w:rsidP="00D60720">
      <w:pPr>
        <w:spacing w:line="360" w:lineRule="auto"/>
        <w:jc w:val="both"/>
        <w:rPr>
          <w:rFonts w:ascii="Arial" w:hAnsi="Arial" w:cs="Arial"/>
        </w:rPr>
      </w:pPr>
      <w:r w:rsidRPr="00E85C8C">
        <w:rPr>
          <w:rFonts w:ascii="Arial" w:hAnsi="Arial" w:cs="Arial"/>
          <w:b/>
          <w:bCs/>
        </w:rPr>
        <w:t>Artículo 8.</w:t>
      </w:r>
      <w:r w:rsidRPr="00E85C8C">
        <w:rPr>
          <w:rFonts w:ascii="Arial" w:hAnsi="Arial" w:cs="Arial"/>
        </w:rPr>
        <w:t xml:space="preserve"> Formarán parte de este Decreto los recursos adicionales y distintos a los contenidos en el mismo, que se asignen al Estado a través de convenios de reasignación o deriven de las variaciones de la Ley de Ingresos aprobada.</w:t>
      </w:r>
    </w:p>
    <w:p w14:paraId="6AE589E5" w14:textId="77777777" w:rsidR="00AF664D" w:rsidRPr="00E85C8C" w:rsidRDefault="00AF664D" w:rsidP="00D60720">
      <w:pPr>
        <w:spacing w:line="360" w:lineRule="auto"/>
        <w:jc w:val="both"/>
        <w:rPr>
          <w:rFonts w:ascii="Arial" w:hAnsi="Arial" w:cs="Arial"/>
        </w:rPr>
      </w:pPr>
    </w:p>
    <w:p w14:paraId="02E8126D" w14:textId="21DA945A" w:rsidR="00AF664D" w:rsidRPr="00E85C8C" w:rsidRDefault="00AF664D" w:rsidP="00D60720">
      <w:pPr>
        <w:spacing w:line="360" w:lineRule="auto"/>
        <w:jc w:val="both"/>
        <w:rPr>
          <w:rFonts w:ascii="Arial" w:hAnsi="Arial" w:cs="Arial"/>
        </w:rPr>
      </w:pPr>
      <w:r w:rsidRPr="00E85C8C">
        <w:rPr>
          <w:rFonts w:ascii="Arial" w:hAnsi="Arial" w:cs="Arial"/>
          <w:b/>
          <w:bCs/>
        </w:rPr>
        <w:t>Artículo 9.</w:t>
      </w:r>
      <w:r w:rsidRPr="00E85C8C">
        <w:rPr>
          <w:rFonts w:ascii="Arial" w:hAnsi="Arial" w:cs="Arial"/>
        </w:rPr>
        <w:t xml:space="preserve"> El Presupuesto etiquetado con recursos de libre disposición que al 31 de diciembre de 202</w:t>
      </w:r>
      <w:r>
        <w:rPr>
          <w:rFonts w:ascii="Arial" w:hAnsi="Arial" w:cs="Arial"/>
        </w:rPr>
        <w:t>6</w:t>
      </w:r>
      <w:r w:rsidRPr="00E85C8C">
        <w:rPr>
          <w:rFonts w:ascii="Arial" w:hAnsi="Arial" w:cs="Arial"/>
        </w:rPr>
        <w:t xml:space="preserve"> no haya sido comprometido y devengado, se considerará economía y será cancelado por la Secretaría de Finanzas y Administración, sin que para ello se requiera aprobación de la ejecutora del gasto.</w:t>
      </w:r>
    </w:p>
    <w:p w14:paraId="1C17995F" w14:textId="77777777" w:rsidR="00AF664D" w:rsidRPr="00E85C8C" w:rsidRDefault="00AF664D" w:rsidP="00D60720">
      <w:pPr>
        <w:spacing w:line="360" w:lineRule="auto"/>
        <w:jc w:val="both"/>
        <w:rPr>
          <w:rFonts w:ascii="Arial" w:hAnsi="Arial" w:cs="Arial"/>
        </w:rPr>
      </w:pPr>
    </w:p>
    <w:p w14:paraId="646DEAC3" w14:textId="5BBAB2D4" w:rsidR="00AF2A9D" w:rsidRDefault="00AF664D" w:rsidP="00D60720">
      <w:pPr>
        <w:spacing w:line="360" w:lineRule="auto"/>
        <w:jc w:val="both"/>
        <w:rPr>
          <w:rFonts w:ascii="Arial" w:hAnsi="Arial" w:cs="Arial"/>
        </w:rPr>
      </w:pPr>
      <w:r w:rsidRPr="00E85C8C">
        <w:rPr>
          <w:rFonts w:ascii="Arial" w:hAnsi="Arial" w:cs="Arial"/>
          <w:b/>
          <w:bCs/>
        </w:rPr>
        <w:t>Artículo 10.</w:t>
      </w:r>
      <w:r w:rsidRPr="00E85C8C">
        <w:rPr>
          <w:rFonts w:ascii="Arial" w:hAnsi="Arial" w:cs="Arial"/>
        </w:rPr>
        <w:t xml:space="preserve"> </w:t>
      </w:r>
      <w:r w:rsidR="00AF2A9D" w:rsidRPr="00C03359">
        <w:rPr>
          <w:rFonts w:ascii="Arial" w:hAnsi="Arial" w:cs="Arial"/>
        </w:rPr>
        <w:t>La asignación total de recursos del Gobierno del Estado para el pago de la nómina del sector educativo, así como para su gasto operativo, deberá sujetarse a los montos aprobados en el presente Decreto, observando los principios de disciplina financiera, racionalidad y sostenibilidad presupuestaria.</w:t>
      </w:r>
    </w:p>
    <w:p w14:paraId="67D425AF" w14:textId="77777777" w:rsidR="00AF2A9D" w:rsidRDefault="00AF2A9D" w:rsidP="00D60720">
      <w:pPr>
        <w:spacing w:line="360" w:lineRule="auto"/>
        <w:jc w:val="both"/>
        <w:rPr>
          <w:rFonts w:ascii="Arial" w:hAnsi="Arial" w:cs="Arial"/>
        </w:rPr>
      </w:pPr>
      <w:r w:rsidRPr="00C03359">
        <w:rPr>
          <w:rFonts w:ascii="Arial" w:hAnsi="Arial" w:cs="Arial"/>
        </w:rPr>
        <w:t>No obstante, en caso de que durante el ejercicio fiscal se autoricen recursos adicionales por parte del Ejecutivo Federal o se gestionen ampliaciones presupuestales estatales para atender necesidades del sector educativo, éstos podrán ser incorporados previa autorización de la Secretaría de Finanzas y Administración, siempre que exista disponibilidad presupuestaria y financiera, y que dichos recursos se destinen exclusivamente al fin para el cual fueron otorgados.</w:t>
      </w:r>
    </w:p>
    <w:p w14:paraId="18ABFB96" w14:textId="77777777" w:rsidR="00D60720" w:rsidRPr="00C03359" w:rsidRDefault="00D60720" w:rsidP="00D60720">
      <w:pPr>
        <w:spacing w:line="360" w:lineRule="auto"/>
        <w:jc w:val="both"/>
        <w:rPr>
          <w:rFonts w:ascii="Arial" w:hAnsi="Arial" w:cs="Arial"/>
        </w:rPr>
      </w:pPr>
    </w:p>
    <w:p w14:paraId="50B6AB86" w14:textId="3C6763BE" w:rsidR="00AF2A9D" w:rsidRPr="00AF2A9D" w:rsidRDefault="00AF2A9D" w:rsidP="00D60720">
      <w:pPr>
        <w:spacing w:line="360" w:lineRule="auto"/>
        <w:jc w:val="both"/>
        <w:rPr>
          <w:rFonts w:ascii="Arial" w:hAnsi="Arial" w:cs="Arial"/>
        </w:rPr>
      </w:pPr>
      <w:r w:rsidRPr="00C03359">
        <w:rPr>
          <w:rFonts w:ascii="Arial" w:hAnsi="Arial" w:cs="Arial"/>
        </w:rPr>
        <w:t xml:space="preserve">La Secretaría de Finanzas y Administración verificará que las ampliaciones no generen un desequilibrio presupuestario ni comprometan la sostenibilidad de las finanzas públicas estatales, conforme a </w:t>
      </w:r>
      <w:r w:rsidR="00FC2D3D">
        <w:rPr>
          <w:rFonts w:ascii="Arial" w:hAnsi="Arial" w:cs="Arial"/>
        </w:rPr>
        <w:t>lo dispuesto en los artículos 3 y 4</w:t>
      </w:r>
      <w:r w:rsidRPr="00C03359">
        <w:rPr>
          <w:rFonts w:ascii="Arial" w:hAnsi="Arial" w:cs="Arial"/>
        </w:rPr>
        <w:t xml:space="preserve"> del presente Decreto.</w:t>
      </w:r>
    </w:p>
    <w:p w14:paraId="1533E39D" w14:textId="77777777" w:rsidR="00AF664D" w:rsidRPr="00E85C8C" w:rsidRDefault="00AF664D" w:rsidP="00D60720">
      <w:pPr>
        <w:spacing w:line="360" w:lineRule="auto"/>
        <w:jc w:val="both"/>
        <w:rPr>
          <w:rFonts w:ascii="Arial" w:hAnsi="Arial" w:cs="Arial"/>
        </w:rPr>
      </w:pPr>
    </w:p>
    <w:p w14:paraId="02AFBC4E"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II</w:t>
      </w:r>
    </w:p>
    <w:p w14:paraId="2AD7ADA4"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 LAS EROGACIONES</w:t>
      </w:r>
    </w:p>
    <w:p w14:paraId="2F2D33FD" w14:textId="77777777" w:rsidR="00AF664D" w:rsidRPr="00E85C8C" w:rsidRDefault="00AF664D" w:rsidP="00D60720">
      <w:pPr>
        <w:spacing w:line="360" w:lineRule="auto"/>
        <w:jc w:val="both"/>
        <w:rPr>
          <w:rFonts w:ascii="Arial" w:eastAsia="Arial" w:hAnsi="Arial" w:cs="Arial"/>
        </w:rPr>
      </w:pPr>
    </w:p>
    <w:p w14:paraId="74303F5B" w14:textId="01E39AAD" w:rsidR="00AF664D" w:rsidRPr="00E85C8C" w:rsidRDefault="00AF664D" w:rsidP="00D60720">
      <w:pPr>
        <w:spacing w:line="360" w:lineRule="auto"/>
        <w:jc w:val="both"/>
        <w:rPr>
          <w:rFonts w:ascii="Arial" w:eastAsia="Arial" w:hAnsi="Arial" w:cs="Arial"/>
        </w:rPr>
      </w:pPr>
      <w:r w:rsidRPr="00E85C8C">
        <w:rPr>
          <w:rFonts w:ascii="Arial" w:eastAsia="Arial" w:hAnsi="Arial" w:cs="Arial"/>
          <w:b/>
        </w:rPr>
        <w:t>Artículo 11.</w:t>
      </w:r>
      <w:r w:rsidRPr="00E85C8C">
        <w:rPr>
          <w:rFonts w:ascii="Arial" w:eastAsia="Arial" w:hAnsi="Arial" w:cs="Arial"/>
        </w:rPr>
        <w:t xml:space="preserve"> El Presupuesto de Egresos del Gobierno del Estado de Michoacán </w:t>
      </w:r>
      <w:r w:rsidRPr="00832BA5">
        <w:rPr>
          <w:rFonts w:ascii="Arial" w:eastAsia="Arial" w:hAnsi="Arial" w:cs="Arial"/>
        </w:rPr>
        <w:t xml:space="preserve">de Ocampo para el Ejercicio Fiscal 2026 asciende a la cantidad de </w:t>
      </w:r>
      <w:r w:rsidRPr="00832BA5">
        <w:rPr>
          <w:b/>
          <w:bCs/>
        </w:rPr>
        <w:t>$</w:t>
      </w:r>
      <w:r w:rsidRPr="00832BA5">
        <w:rPr>
          <w:rFonts w:ascii="Arial" w:hAnsi="Arial" w:cs="Arial"/>
          <w:b/>
          <w:bCs/>
        </w:rPr>
        <w:t>107,884,611,261</w:t>
      </w:r>
      <w:r w:rsidR="00832BA5">
        <w:rPr>
          <w:rFonts w:ascii="Arial" w:hAnsi="Arial" w:cs="Arial"/>
          <w:b/>
          <w:bCs/>
        </w:rPr>
        <w:t>.00</w:t>
      </w:r>
      <w:r w:rsidRPr="00832BA5">
        <w:rPr>
          <w:rFonts w:ascii="Arial" w:hAnsi="Arial" w:cs="Arial"/>
          <w:b/>
          <w:bCs/>
        </w:rPr>
        <w:t xml:space="preserve"> (Ciento siete mil ochocientos ochenta y cuatro millones seiscientos once mil doscientos sesenta y un pesos</w:t>
      </w:r>
      <w:r w:rsidR="00832BA5">
        <w:rPr>
          <w:rFonts w:ascii="Arial" w:hAnsi="Arial" w:cs="Arial"/>
          <w:b/>
          <w:bCs/>
        </w:rPr>
        <w:t xml:space="preserve"> 00/100</w:t>
      </w:r>
      <w:r w:rsidRPr="00832BA5">
        <w:rPr>
          <w:rFonts w:ascii="Arial" w:hAnsi="Arial" w:cs="Arial"/>
          <w:b/>
          <w:bCs/>
        </w:rPr>
        <w:t xml:space="preserve"> M.N.)</w:t>
      </w:r>
      <w:r w:rsidRPr="00832BA5">
        <w:rPr>
          <w:rFonts w:ascii="Arial" w:hAnsi="Arial" w:cs="Arial"/>
        </w:rPr>
        <w:t>,</w:t>
      </w:r>
      <w:r w:rsidRPr="00E85C8C">
        <w:rPr>
          <w:rFonts w:ascii="Arial" w:hAnsi="Arial" w:cs="Arial"/>
          <w:b/>
          <w:bCs/>
        </w:rPr>
        <w:t xml:space="preserve"> </w:t>
      </w:r>
      <w:r w:rsidRPr="00E85C8C">
        <w:rPr>
          <w:rFonts w:ascii="Arial" w:eastAsia="Arial" w:hAnsi="Arial" w:cs="Arial"/>
        </w:rPr>
        <w:t>y corresponde al total de los ingresos aprobados en la Ley de Ingresos del Estado de Michoacán de Ocampo para el Ejercicio Fiscal 202</w:t>
      </w:r>
      <w:r w:rsidR="00832BA5">
        <w:rPr>
          <w:rFonts w:ascii="Arial" w:eastAsia="Arial" w:hAnsi="Arial" w:cs="Arial"/>
        </w:rPr>
        <w:t>6</w:t>
      </w:r>
      <w:r w:rsidRPr="00E85C8C">
        <w:rPr>
          <w:rFonts w:ascii="Arial" w:eastAsia="Arial" w:hAnsi="Arial" w:cs="Arial"/>
        </w:rPr>
        <w:t>.</w:t>
      </w:r>
    </w:p>
    <w:p w14:paraId="79FB8D14" w14:textId="77777777" w:rsidR="00AF664D" w:rsidRPr="00E85C8C" w:rsidRDefault="00AF664D" w:rsidP="00D60720">
      <w:pPr>
        <w:spacing w:line="360" w:lineRule="auto"/>
        <w:jc w:val="both"/>
        <w:rPr>
          <w:rFonts w:ascii="Arial" w:hAnsi="Arial" w:cs="Arial"/>
        </w:rPr>
      </w:pPr>
    </w:p>
    <w:p w14:paraId="42601E65" w14:textId="4C6E8E73" w:rsidR="00AF664D" w:rsidRPr="00E85C8C" w:rsidRDefault="00AF664D" w:rsidP="00D60720">
      <w:pPr>
        <w:spacing w:line="360" w:lineRule="auto"/>
        <w:jc w:val="both"/>
        <w:rPr>
          <w:rFonts w:ascii="Arial" w:eastAsia="Arial" w:hAnsi="Arial" w:cs="Arial"/>
        </w:rPr>
      </w:pPr>
      <w:r w:rsidRPr="00E85C8C">
        <w:rPr>
          <w:rFonts w:ascii="Arial" w:eastAsia="Arial" w:hAnsi="Arial" w:cs="Arial"/>
        </w:rPr>
        <w:t>Para el Ejercicio Fiscal de 202</w:t>
      </w:r>
      <w:r>
        <w:rPr>
          <w:rFonts w:ascii="Arial" w:eastAsia="Arial" w:hAnsi="Arial" w:cs="Arial"/>
        </w:rPr>
        <w:t>6</w:t>
      </w:r>
      <w:r w:rsidRPr="00E85C8C">
        <w:rPr>
          <w:rFonts w:ascii="Arial" w:eastAsia="Arial" w:hAnsi="Arial" w:cs="Arial"/>
        </w:rPr>
        <w:t>, el Presupuesto de Egresos del Gobierno del Estado de Michoacán de Ocampo, es asignado a través de la clasificación administrativa.</w:t>
      </w:r>
    </w:p>
    <w:p w14:paraId="7C7AD258" w14:textId="77777777" w:rsidR="00AF664D" w:rsidRPr="00E85C8C" w:rsidRDefault="00AF664D" w:rsidP="00D60720">
      <w:pPr>
        <w:spacing w:line="360" w:lineRule="auto"/>
        <w:jc w:val="both"/>
        <w:rPr>
          <w:rFonts w:ascii="Arial" w:eastAsia="Arial" w:hAnsi="Arial" w:cs="Arial"/>
          <w:lang w:val="es-ES"/>
        </w:rPr>
      </w:pPr>
    </w:p>
    <w:p w14:paraId="0EE46904" w14:textId="58C431D8" w:rsidR="00AF664D" w:rsidRPr="00E85C8C" w:rsidRDefault="00AF664D" w:rsidP="00D60720">
      <w:pPr>
        <w:spacing w:line="360" w:lineRule="auto"/>
        <w:jc w:val="both"/>
        <w:rPr>
          <w:rFonts w:ascii="Arial" w:eastAsia="Arial" w:hAnsi="Arial" w:cs="Arial"/>
        </w:rPr>
      </w:pPr>
      <w:r w:rsidRPr="00832BA5">
        <w:rPr>
          <w:rFonts w:ascii="Arial" w:eastAsia="Arial" w:hAnsi="Arial" w:cs="Arial"/>
          <w:b/>
        </w:rPr>
        <w:t>Artículo 12</w:t>
      </w:r>
      <w:r w:rsidRPr="00832BA5">
        <w:rPr>
          <w:rFonts w:ascii="Arial" w:eastAsia="Arial" w:hAnsi="Arial" w:cs="Arial"/>
        </w:rPr>
        <w:t xml:space="preserve">. El presupuesto asignado en su Clasificación Administrativa asciende a de </w:t>
      </w:r>
      <w:r w:rsidRPr="00832BA5">
        <w:rPr>
          <w:b/>
          <w:bCs/>
        </w:rPr>
        <w:t>$</w:t>
      </w:r>
      <w:r w:rsidRPr="00832BA5">
        <w:rPr>
          <w:rFonts w:ascii="Arial" w:hAnsi="Arial" w:cs="Arial"/>
          <w:b/>
          <w:bCs/>
        </w:rPr>
        <w:t>107,884,611,261</w:t>
      </w:r>
      <w:r w:rsidR="00832BA5">
        <w:rPr>
          <w:rFonts w:ascii="Arial" w:hAnsi="Arial" w:cs="Arial"/>
          <w:b/>
          <w:bCs/>
        </w:rPr>
        <w:t>.00</w:t>
      </w:r>
      <w:r w:rsidRPr="00832BA5">
        <w:rPr>
          <w:rFonts w:ascii="Arial" w:hAnsi="Arial" w:cs="Arial"/>
          <w:b/>
          <w:bCs/>
        </w:rPr>
        <w:t xml:space="preserve"> (Ciento siete mil ochocientos ochenta y cuatro millones </w:t>
      </w:r>
      <w:r w:rsidR="00C03359" w:rsidRPr="00832BA5">
        <w:rPr>
          <w:rFonts w:ascii="Arial" w:hAnsi="Arial" w:cs="Arial"/>
          <w:b/>
          <w:bCs/>
        </w:rPr>
        <w:t>seiscientos</w:t>
      </w:r>
      <w:r w:rsidRPr="00832BA5">
        <w:rPr>
          <w:rFonts w:ascii="Arial" w:hAnsi="Arial" w:cs="Arial"/>
          <w:b/>
          <w:bCs/>
        </w:rPr>
        <w:t xml:space="preserve"> once mil doscientos sesenta y un pesos</w:t>
      </w:r>
      <w:r w:rsidR="00832BA5">
        <w:rPr>
          <w:rFonts w:ascii="Arial" w:hAnsi="Arial" w:cs="Arial"/>
          <w:b/>
          <w:bCs/>
        </w:rPr>
        <w:t xml:space="preserve"> 00/100</w:t>
      </w:r>
      <w:r w:rsidRPr="00832BA5">
        <w:rPr>
          <w:rFonts w:ascii="Arial" w:hAnsi="Arial" w:cs="Arial"/>
          <w:b/>
          <w:bCs/>
        </w:rPr>
        <w:t xml:space="preserve"> M.N.)</w:t>
      </w:r>
      <w:r>
        <w:rPr>
          <w:rFonts w:ascii="Arial" w:hAnsi="Arial" w:cs="Arial"/>
          <w:b/>
          <w:bCs/>
        </w:rPr>
        <w:t xml:space="preserve"> </w:t>
      </w:r>
      <w:r w:rsidRPr="00E85C8C">
        <w:rPr>
          <w:rFonts w:ascii="Arial" w:eastAsia="Arial" w:hAnsi="Arial" w:cs="Arial"/>
        </w:rPr>
        <w:t>distribuido de la siguiente forma:</w:t>
      </w:r>
    </w:p>
    <w:p w14:paraId="6B9D796B" w14:textId="77777777" w:rsidR="00AF664D" w:rsidRPr="00E85C8C" w:rsidRDefault="00AF664D" w:rsidP="00D60720">
      <w:pPr>
        <w:spacing w:line="360" w:lineRule="auto"/>
        <w:jc w:val="both"/>
        <w:rPr>
          <w:rFonts w:ascii="Arial" w:eastAsia="Arial" w:hAnsi="Arial" w:cs="Arial"/>
        </w:rPr>
      </w:pPr>
    </w:p>
    <w:p w14:paraId="1347FC34" w14:textId="1F24CA3D" w:rsidR="00AF664D" w:rsidRPr="00F25EB2" w:rsidRDefault="00AF664D" w:rsidP="00D60720">
      <w:pPr>
        <w:spacing w:line="360" w:lineRule="auto"/>
        <w:jc w:val="both"/>
        <w:rPr>
          <w:rFonts w:ascii="Arial" w:hAnsi="Arial" w:cs="Arial"/>
          <w:sz w:val="20"/>
          <w:szCs w:val="20"/>
        </w:rPr>
      </w:pPr>
      <w:r w:rsidRPr="00E85C8C">
        <w:rPr>
          <w:rFonts w:ascii="Arial" w:hAnsi="Arial" w:cs="Arial"/>
        </w:rPr>
        <w:t xml:space="preserve">a) Se asigna a </w:t>
      </w:r>
      <w:r w:rsidRPr="00832BA5">
        <w:rPr>
          <w:rFonts w:ascii="Arial" w:hAnsi="Arial" w:cs="Arial"/>
        </w:rPr>
        <w:t xml:space="preserve">las dependencias de la administración pública centralizada la cantidad total de </w:t>
      </w:r>
      <w:r w:rsidRPr="00832BA5">
        <w:rPr>
          <w:rFonts w:ascii="Arial" w:hAnsi="Arial" w:cs="Arial"/>
          <w:b/>
          <w:bCs/>
        </w:rPr>
        <w:t>$7</w:t>
      </w:r>
      <w:r w:rsidR="00832BA5" w:rsidRPr="00832BA5">
        <w:rPr>
          <w:rFonts w:ascii="Arial" w:hAnsi="Arial" w:cs="Arial"/>
          <w:b/>
          <w:bCs/>
        </w:rPr>
        <w:t>9</w:t>
      </w:r>
      <w:r w:rsidRPr="00832BA5">
        <w:rPr>
          <w:rFonts w:ascii="Arial" w:hAnsi="Arial" w:cs="Arial"/>
          <w:b/>
          <w:bCs/>
        </w:rPr>
        <w:t>,</w:t>
      </w:r>
      <w:r w:rsidR="00832BA5" w:rsidRPr="00832BA5">
        <w:rPr>
          <w:rFonts w:ascii="Arial" w:hAnsi="Arial" w:cs="Arial"/>
          <w:b/>
          <w:bCs/>
        </w:rPr>
        <w:t>701</w:t>
      </w:r>
      <w:r w:rsidRPr="00832BA5">
        <w:rPr>
          <w:rFonts w:ascii="Arial" w:hAnsi="Arial" w:cs="Arial"/>
          <w:b/>
          <w:bCs/>
        </w:rPr>
        <w:t>,</w:t>
      </w:r>
      <w:r w:rsidR="00832BA5" w:rsidRPr="00832BA5">
        <w:rPr>
          <w:rFonts w:ascii="Arial" w:hAnsi="Arial" w:cs="Arial"/>
          <w:b/>
          <w:bCs/>
        </w:rPr>
        <w:t>750</w:t>
      </w:r>
      <w:r w:rsidRPr="00832BA5">
        <w:rPr>
          <w:rFonts w:ascii="Arial" w:hAnsi="Arial" w:cs="Arial"/>
          <w:b/>
          <w:bCs/>
        </w:rPr>
        <w:t>,</w:t>
      </w:r>
      <w:r w:rsidR="00832BA5" w:rsidRPr="00832BA5">
        <w:rPr>
          <w:rFonts w:ascii="Arial" w:hAnsi="Arial" w:cs="Arial"/>
          <w:b/>
          <w:bCs/>
        </w:rPr>
        <w:t>108</w:t>
      </w:r>
      <w:r w:rsidRPr="00832BA5">
        <w:rPr>
          <w:rFonts w:ascii="Arial" w:hAnsi="Arial" w:cs="Arial"/>
          <w:b/>
          <w:bCs/>
        </w:rPr>
        <w:t xml:space="preserve">.00 (Setenta y </w:t>
      </w:r>
      <w:r w:rsidR="00832BA5" w:rsidRPr="00832BA5">
        <w:rPr>
          <w:rFonts w:ascii="Arial" w:hAnsi="Arial" w:cs="Arial"/>
          <w:b/>
          <w:bCs/>
        </w:rPr>
        <w:t>nueve</w:t>
      </w:r>
      <w:r w:rsidRPr="00832BA5">
        <w:rPr>
          <w:rFonts w:ascii="Arial" w:hAnsi="Arial" w:cs="Arial"/>
          <w:b/>
          <w:bCs/>
        </w:rPr>
        <w:t xml:space="preserve"> mil </w:t>
      </w:r>
      <w:r w:rsidR="00832BA5" w:rsidRPr="00832BA5">
        <w:rPr>
          <w:rFonts w:ascii="Arial" w:hAnsi="Arial" w:cs="Arial"/>
          <w:b/>
          <w:bCs/>
        </w:rPr>
        <w:t>setecientos un</w:t>
      </w:r>
      <w:r w:rsidRPr="00832BA5">
        <w:rPr>
          <w:rFonts w:ascii="Arial" w:hAnsi="Arial" w:cs="Arial"/>
          <w:b/>
          <w:bCs/>
        </w:rPr>
        <w:t xml:space="preserve"> </w:t>
      </w:r>
      <w:r w:rsidR="00A363B3" w:rsidRPr="00464E8C">
        <w:rPr>
          <w:rFonts w:ascii="Arial" w:hAnsi="Arial" w:cs="Arial"/>
          <w:b/>
          <w:bCs/>
        </w:rPr>
        <w:t>millo</w:t>
      </w:r>
      <w:r w:rsidR="00832BA5" w:rsidRPr="00464E8C">
        <w:rPr>
          <w:rFonts w:ascii="Arial" w:hAnsi="Arial" w:cs="Arial"/>
          <w:b/>
          <w:bCs/>
        </w:rPr>
        <w:t>n</w:t>
      </w:r>
      <w:r w:rsidR="00A363B3" w:rsidRPr="00464E8C">
        <w:rPr>
          <w:rFonts w:ascii="Arial" w:hAnsi="Arial" w:cs="Arial"/>
          <w:b/>
          <w:bCs/>
        </w:rPr>
        <w:t>es</w:t>
      </w:r>
      <w:r w:rsidR="00832BA5" w:rsidRPr="00464E8C">
        <w:rPr>
          <w:rFonts w:ascii="Arial" w:hAnsi="Arial" w:cs="Arial"/>
          <w:b/>
          <w:bCs/>
        </w:rPr>
        <w:t xml:space="preserve"> setecientos</w:t>
      </w:r>
      <w:r w:rsidR="00832BA5" w:rsidRPr="00832BA5">
        <w:rPr>
          <w:rFonts w:ascii="Arial" w:hAnsi="Arial" w:cs="Arial"/>
          <w:b/>
          <w:bCs/>
        </w:rPr>
        <w:t xml:space="preserve"> cincuenta</w:t>
      </w:r>
      <w:r w:rsidRPr="00832BA5">
        <w:rPr>
          <w:rFonts w:ascii="Arial" w:hAnsi="Arial" w:cs="Arial"/>
          <w:b/>
          <w:bCs/>
        </w:rPr>
        <w:t xml:space="preserve"> mil </w:t>
      </w:r>
      <w:r w:rsidR="00832BA5" w:rsidRPr="00832BA5">
        <w:rPr>
          <w:rFonts w:ascii="Arial" w:hAnsi="Arial" w:cs="Arial"/>
          <w:b/>
          <w:bCs/>
        </w:rPr>
        <w:t>ciento ocho</w:t>
      </w:r>
      <w:r w:rsidRPr="00832BA5">
        <w:rPr>
          <w:rFonts w:ascii="Arial" w:hAnsi="Arial" w:cs="Arial"/>
          <w:b/>
          <w:bCs/>
        </w:rPr>
        <w:t xml:space="preserve"> pesos 00/100 M.N.)</w:t>
      </w:r>
    </w:p>
    <w:p w14:paraId="48A6C54D" w14:textId="061154E3" w:rsidR="00832BA5" w:rsidRPr="00F25EB2" w:rsidRDefault="00BF728F" w:rsidP="00D60720">
      <w:pPr>
        <w:spacing w:line="360" w:lineRule="auto"/>
        <w:jc w:val="both"/>
        <w:rPr>
          <w:rFonts w:ascii="Arial" w:hAnsi="Arial" w:cs="Arial"/>
          <w:sz w:val="20"/>
          <w:szCs w:val="20"/>
        </w:rPr>
      </w:pPr>
      <w:r w:rsidRPr="00BF728F">
        <w:rPr>
          <w:noProof/>
        </w:rPr>
        <w:drawing>
          <wp:inline distT="0" distB="0" distL="0" distR="0" wp14:anchorId="1AA5F8DD" wp14:editId="33CB57CA">
            <wp:extent cx="5486400" cy="4519930"/>
            <wp:effectExtent l="0" t="0" r="0" b="0"/>
            <wp:docPr id="28352175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4519930"/>
                    </a:xfrm>
                    <a:prstGeom prst="rect">
                      <a:avLst/>
                    </a:prstGeom>
                    <a:noFill/>
                    <a:ln>
                      <a:noFill/>
                    </a:ln>
                  </pic:spPr>
                </pic:pic>
              </a:graphicData>
            </a:graphic>
          </wp:inline>
        </w:drawing>
      </w:r>
    </w:p>
    <w:p w14:paraId="4A417944" w14:textId="77777777" w:rsidR="00AF664D" w:rsidRPr="00E85C8C" w:rsidRDefault="00AF664D" w:rsidP="00D60720">
      <w:pPr>
        <w:spacing w:line="360" w:lineRule="auto"/>
        <w:jc w:val="both"/>
        <w:rPr>
          <w:rFonts w:ascii="Arial" w:eastAsia="Arial" w:hAnsi="Arial" w:cs="Arial"/>
          <w:bCs/>
          <w:lang w:val="es-ES"/>
        </w:rPr>
      </w:pPr>
    </w:p>
    <w:p w14:paraId="4CD608AF" w14:textId="77777777" w:rsidR="00AF664D" w:rsidRDefault="00AF664D" w:rsidP="00D60720">
      <w:pPr>
        <w:spacing w:line="360" w:lineRule="auto"/>
        <w:jc w:val="both"/>
        <w:rPr>
          <w:rFonts w:ascii="Arial" w:eastAsia="Arial" w:hAnsi="Arial" w:cs="Arial"/>
          <w:bCs/>
          <w:lang w:val="es-ES"/>
        </w:rPr>
      </w:pPr>
      <w:r w:rsidRPr="00E85C8C">
        <w:rPr>
          <w:rFonts w:ascii="Arial" w:eastAsia="Arial" w:hAnsi="Arial" w:cs="Arial"/>
          <w:bCs/>
          <w:lang w:val="es-ES"/>
        </w:rPr>
        <w:t xml:space="preserve">En lo referente al concepto de erogaciones por Participaciones y Aportaciones a municipios, el monto referido a cada uno de los 113 municipios del Estado de conformidad con lo dispuesto en la Ley de Coordinación Fiscal y la Ley de Coordinación Fiscal del Estado de Michoacán de Ocampo, dicho importe será distribuido de manera gradual en apego a los ingresos recaudados.    </w:t>
      </w:r>
    </w:p>
    <w:p w14:paraId="4A17F964" w14:textId="77777777" w:rsidR="00AF664D" w:rsidRPr="00E85C8C" w:rsidRDefault="00AF664D" w:rsidP="00D60720">
      <w:pPr>
        <w:spacing w:line="360" w:lineRule="auto"/>
        <w:jc w:val="both"/>
        <w:rPr>
          <w:rFonts w:ascii="Arial" w:eastAsia="Arial" w:hAnsi="Arial" w:cs="Arial"/>
          <w:bCs/>
          <w:lang w:val="es-ES"/>
        </w:rPr>
      </w:pPr>
    </w:p>
    <w:p w14:paraId="14C746AD" w14:textId="77777777" w:rsidR="00AF664D" w:rsidRPr="00E85C8C" w:rsidRDefault="00AF664D" w:rsidP="00D60720">
      <w:pPr>
        <w:spacing w:line="360" w:lineRule="auto"/>
        <w:jc w:val="both"/>
        <w:rPr>
          <w:rFonts w:ascii="Arial" w:eastAsia="Arial" w:hAnsi="Arial" w:cs="Arial"/>
          <w:bCs/>
          <w:lang w:val="es-ES"/>
        </w:rPr>
      </w:pPr>
      <w:r w:rsidRPr="00E85C8C">
        <w:rPr>
          <w:rFonts w:ascii="Arial" w:eastAsia="Arial" w:hAnsi="Arial" w:cs="Arial"/>
          <w:bCs/>
          <w:lang w:val="es-ES"/>
        </w:rPr>
        <w:t>En el rubro de Deuda Pública, dicha previsión será flexible en función del comportamiento que presenten tanto las tasas de interés como los niveles inflacionarios durante el ejercicio, así como por las condiciones de mercado y por las operaciones de renegociación o reestructuración de deuda pública de los proyectos de prestación de servicios u operaciones financieras que pudieran efectuarse en beneficio de las finanzas del Gobierno del Estado de Michoacán, de acuerdo a la Ley de Disciplina Financiera de las Entidades Federativas y los Municipios.</w:t>
      </w:r>
    </w:p>
    <w:p w14:paraId="3BEF0A0E" w14:textId="77777777" w:rsidR="00AF664D" w:rsidRPr="00E85C8C" w:rsidRDefault="00AF664D" w:rsidP="00D60720">
      <w:pPr>
        <w:spacing w:line="360" w:lineRule="auto"/>
        <w:jc w:val="both"/>
        <w:rPr>
          <w:rFonts w:ascii="Arial" w:eastAsia="Arial" w:hAnsi="Arial" w:cs="Arial"/>
          <w:bCs/>
          <w:lang w:val="es-ES"/>
        </w:rPr>
      </w:pPr>
    </w:p>
    <w:p w14:paraId="5C617F32" w14:textId="1709894D" w:rsidR="00AF664D" w:rsidRPr="00E85C8C" w:rsidRDefault="00AF664D" w:rsidP="00D60720">
      <w:pPr>
        <w:spacing w:line="360" w:lineRule="auto"/>
        <w:jc w:val="both"/>
        <w:rPr>
          <w:rFonts w:ascii="Arial" w:hAnsi="Arial" w:cs="Arial"/>
        </w:rPr>
      </w:pPr>
      <w:r w:rsidRPr="00E85C8C">
        <w:rPr>
          <w:rFonts w:ascii="Arial" w:hAnsi="Arial" w:cs="Arial"/>
        </w:rPr>
        <w:t xml:space="preserve">b) Se </w:t>
      </w:r>
      <w:r w:rsidRPr="00BF728F">
        <w:rPr>
          <w:rFonts w:ascii="Arial" w:hAnsi="Arial" w:cs="Arial"/>
        </w:rPr>
        <w:t xml:space="preserve">asigna a las entidades de la administración pública paraestatal, la cantidad total de </w:t>
      </w:r>
      <w:r w:rsidRPr="00BF728F">
        <w:rPr>
          <w:rFonts w:ascii="Arial" w:hAnsi="Arial" w:cs="Arial"/>
          <w:b/>
          <w:bCs/>
        </w:rPr>
        <w:t>$</w:t>
      </w:r>
      <w:r w:rsidR="00BF728F" w:rsidRPr="00BF728F">
        <w:rPr>
          <w:rFonts w:ascii="Arial" w:hAnsi="Arial" w:cs="Arial"/>
          <w:b/>
          <w:bCs/>
        </w:rPr>
        <w:t>16,958</w:t>
      </w:r>
      <w:r w:rsidRPr="00BF728F">
        <w:rPr>
          <w:rFonts w:ascii="Arial" w:hAnsi="Arial" w:cs="Arial"/>
          <w:b/>
          <w:bCs/>
        </w:rPr>
        <w:t>,</w:t>
      </w:r>
      <w:r w:rsidR="00BF728F" w:rsidRPr="00BF728F">
        <w:rPr>
          <w:rFonts w:ascii="Arial" w:hAnsi="Arial" w:cs="Arial"/>
          <w:b/>
          <w:bCs/>
        </w:rPr>
        <w:t>177</w:t>
      </w:r>
      <w:r w:rsidRPr="00BF728F">
        <w:rPr>
          <w:rFonts w:ascii="Arial" w:hAnsi="Arial" w:cs="Arial"/>
          <w:b/>
          <w:bCs/>
        </w:rPr>
        <w:t>,</w:t>
      </w:r>
      <w:r w:rsidR="00BF728F" w:rsidRPr="00BF728F">
        <w:rPr>
          <w:rFonts w:ascii="Arial" w:hAnsi="Arial" w:cs="Arial"/>
          <w:b/>
          <w:bCs/>
        </w:rPr>
        <w:t>095</w:t>
      </w:r>
      <w:r w:rsidRPr="00BF728F">
        <w:rPr>
          <w:rFonts w:ascii="Arial" w:hAnsi="Arial" w:cs="Arial"/>
          <w:b/>
          <w:bCs/>
        </w:rPr>
        <w:t>.00 (D</w:t>
      </w:r>
      <w:r w:rsidR="00BF728F" w:rsidRPr="00BF728F">
        <w:rPr>
          <w:rFonts w:ascii="Arial" w:hAnsi="Arial" w:cs="Arial"/>
          <w:b/>
          <w:bCs/>
        </w:rPr>
        <w:t>i</w:t>
      </w:r>
      <w:r w:rsidR="009B56F0">
        <w:rPr>
          <w:rFonts w:ascii="Arial" w:hAnsi="Arial" w:cs="Arial"/>
          <w:b/>
          <w:bCs/>
        </w:rPr>
        <w:t>eciséis</w:t>
      </w:r>
      <w:r w:rsidR="00BF728F" w:rsidRPr="00BF728F">
        <w:rPr>
          <w:rFonts w:ascii="Arial" w:hAnsi="Arial" w:cs="Arial"/>
          <w:b/>
          <w:bCs/>
        </w:rPr>
        <w:t xml:space="preserve"> </w:t>
      </w:r>
      <w:r w:rsidRPr="00BF728F">
        <w:rPr>
          <w:rFonts w:ascii="Arial" w:hAnsi="Arial" w:cs="Arial"/>
          <w:b/>
          <w:bCs/>
        </w:rPr>
        <w:t xml:space="preserve">mil </w:t>
      </w:r>
      <w:r w:rsidR="00BF728F" w:rsidRPr="00BF728F">
        <w:rPr>
          <w:rFonts w:ascii="Arial" w:hAnsi="Arial" w:cs="Arial"/>
          <w:b/>
          <w:bCs/>
        </w:rPr>
        <w:t>novecientos cincuenta y ocho</w:t>
      </w:r>
      <w:r w:rsidRPr="00BF728F">
        <w:rPr>
          <w:rFonts w:ascii="Arial" w:hAnsi="Arial" w:cs="Arial"/>
          <w:b/>
          <w:bCs/>
        </w:rPr>
        <w:t xml:space="preserve"> millones </w:t>
      </w:r>
      <w:r w:rsidR="00BF728F" w:rsidRPr="00BF728F">
        <w:rPr>
          <w:rFonts w:ascii="Arial" w:hAnsi="Arial" w:cs="Arial"/>
          <w:b/>
          <w:bCs/>
        </w:rPr>
        <w:t>ciento setenta y siete</w:t>
      </w:r>
      <w:r w:rsidRPr="00BF728F">
        <w:rPr>
          <w:rFonts w:ascii="Arial" w:hAnsi="Arial" w:cs="Arial"/>
          <w:b/>
          <w:bCs/>
        </w:rPr>
        <w:t xml:space="preserve"> mil </w:t>
      </w:r>
      <w:r w:rsidR="00BF728F" w:rsidRPr="00BF728F">
        <w:rPr>
          <w:rFonts w:ascii="Arial" w:hAnsi="Arial" w:cs="Arial"/>
          <w:b/>
          <w:bCs/>
        </w:rPr>
        <w:t>noventa</w:t>
      </w:r>
      <w:r w:rsidRPr="00BF728F">
        <w:rPr>
          <w:rFonts w:ascii="Arial" w:hAnsi="Arial" w:cs="Arial"/>
          <w:b/>
          <w:bCs/>
        </w:rPr>
        <w:t xml:space="preserve"> y </w:t>
      </w:r>
      <w:r w:rsidR="00BF728F" w:rsidRPr="00BF728F">
        <w:rPr>
          <w:rFonts w:ascii="Arial" w:hAnsi="Arial" w:cs="Arial"/>
          <w:b/>
          <w:bCs/>
        </w:rPr>
        <w:t>cinco</w:t>
      </w:r>
      <w:r w:rsidRPr="00BF728F">
        <w:rPr>
          <w:rFonts w:ascii="Arial" w:hAnsi="Arial" w:cs="Arial"/>
          <w:b/>
          <w:bCs/>
        </w:rPr>
        <w:t xml:space="preserve"> pesos 00/100 M.N.),</w:t>
      </w:r>
      <w:r w:rsidRPr="00BF728F">
        <w:rPr>
          <w:rFonts w:ascii="Arial" w:hAnsi="Arial" w:cs="Arial"/>
        </w:rPr>
        <w:t xml:space="preserve"> distribuida</w:t>
      </w:r>
      <w:r w:rsidRPr="00E85C8C">
        <w:rPr>
          <w:rFonts w:ascii="Arial" w:hAnsi="Arial" w:cs="Arial"/>
        </w:rPr>
        <w:t xml:space="preserve"> de la siguiente manera:</w:t>
      </w:r>
    </w:p>
    <w:p w14:paraId="23597F47" w14:textId="1D403131" w:rsidR="00AF664D" w:rsidRPr="00E85C8C" w:rsidRDefault="00BF728F" w:rsidP="00D60720">
      <w:pPr>
        <w:spacing w:line="360" w:lineRule="auto"/>
        <w:jc w:val="both"/>
        <w:rPr>
          <w:rFonts w:ascii="Arial" w:hAnsi="Arial" w:cs="Arial"/>
        </w:rPr>
      </w:pPr>
      <w:r w:rsidRPr="00BF728F">
        <w:rPr>
          <w:noProof/>
        </w:rPr>
        <w:drawing>
          <wp:inline distT="0" distB="0" distL="0" distR="0" wp14:anchorId="26EAB1C8" wp14:editId="68652E00">
            <wp:extent cx="5873750" cy="7105650"/>
            <wp:effectExtent l="0" t="0" r="0" b="0"/>
            <wp:docPr id="166736899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73750" cy="7105650"/>
                    </a:xfrm>
                    <a:prstGeom prst="rect">
                      <a:avLst/>
                    </a:prstGeom>
                    <a:noFill/>
                    <a:ln>
                      <a:noFill/>
                    </a:ln>
                  </pic:spPr>
                </pic:pic>
              </a:graphicData>
            </a:graphic>
          </wp:inline>
        </w:drawing>
      </w:r>
    </w:p>
    <w:p w14:paraId="3B747FAA" w14:textId="1AA3DAD1" w:rsidR="00AF664D" w:rsidRDefault="00AF664D" w:rsidP="00D60720">
      <w:pPr>
        <w:spacing w:line="360" w:lineRule="auto"/>
        <w:jc w:val="both"/>
        <w:rPr>
          <w:rFonts w:ascii="Arial" w:hAnsi="Arial" w:cs="Arial"/>
        </w:rPr>
      </w:pPr>
      <w:r w:rsidRPr="00E85C8C">
        <w:rPr>
          <w:rFonts w:ascii="Arial" w:hAnsi="Arial" w:cs="Arial"/>
          <w:b/>
          <w:bCs/>
        </w:rPr>
        <w:t>Artículo 13.</w:t>
      </w:r>
      <w:r w:rsidRPr="00E85C8C">
        <w:rPr>
          <w:rFonts w:ascii="Arial" w:hAnsi="Arial" w:cs="Arial"/>
        </w:rPr>
        <w:t xml:space="preserve"> Las asignaciones para el Poder Legislativo ascienden a la cantidad de </w:t>
      </w:r>
      <w:r w:rsidRPr="00BF728F">
        <w:rPr>
          <w:rFonts w:ascii="Arial" w:hAnsi="Arial" w:cs="Arial"/>
          <w:b/>
          <w:bCs/>
        </w:rPr>
        <w:t>$1,</w:t>
      </w:r>
      <w:r w:rsidR="00BF728F" w:rsidRPr="00BF728F">
        <w:rPr>
          <w:rFonts w:ascii="Arial" w:hAnsi="Arial" w:cs="Arial"/>
          <w:b/>
          <w:bCs/>
        </w:rPr>
        <w:t>510</w:t>
      </w:r>
      <w:r w:rsidRPr="00BF728F">
        <w:rPr>
          <w:rFonts w:ascii="Arial" w:hAnsi="Arial" w:cs="Arial"/>
          <w:b/>
          <w:bCs/>
        </w:rPr>
        <w:t>,</w:t>
      </w:r>
      <w:r w:rsidR="00BF728F" w:rsidRPr="00BF728F">
        <w:rPr>
          <w:rFonts w:ascii="Arial" w:hAnsi="Arial" w:cs="Arial"/>
          <w:b/>
          <w:bCs/>
        </w:rPr>
        <w:t>052</w:t>
      </w:r>
      <w:r w:rsidRPr="00BF728F">
        <w:rPr>
          <w:rFonts w:ascii="Arial" w:hAnsi="Arial" w:cs="Arial"/>
          <w:b/>
          <w:bCs/>
        </w:rPr>
        <w:t>,</w:t>
      </w:r>
      <w:r w:rsidR="00BF728F" w:rsidRPr="00BF728F">
        <w:rPr>
          <w:rFonts w:ascii="Arial" w:hAnsi="Arial" w:cs="Arial"/>
          <w:b/>
          <w:bCs/>
        </w:rPr>
        <w:t>010</w:t>
      </w:r>
      <w:r w:rsidRPr="00BF728F">
        <w:rPr>
          <w:rFonts w:ascii="Arial" w:hAnsi="Arial" w:cs="Arial"/>
          <w:b/>
          <w:bCs/>
        </w:rPr>
        <w:t xml:space="preserve">.00 (Mil </w:t>
      </w:r>
      <w:r w:rsidR="00BF728F" w:rsidRPr="00BF728F">
        <w:rPr>
          <w:rFonts w:ascii="Arial" w:hAnsi="Arial" w:cs="Arial"/>
          <w:b/>
          <w:bCs/>
        </w:rPr>
        <w:t>quinientos diez</w:t>
      </w:r>
      <w:r w:rsidRPr="00BF728F">
        <w:rPr>
          <w:rFonts w:ascii="Arial" w:hAnsi="Arial" w:cs="Arial"/>
          <w:b/>
          <w:bCs/>
        </w:rPr>
        <w:t xml:space="preserve"> millones </w:t>
      </w:r>
      <w:r w:rsidR="00BF728F" w:rsidRPr="00BF728F">
        <w:rPr>
          <w:rFonts w:ascii="Arial" w:hAnsi="Arial" w:cs="Arial"/>
          <w:b/>
          <w:bCs/>
        </w:rPr>
        <w:t xml:space="preserve">cincuenta y dos </w:t>
      </w:r>
      <w:r w:rsidRPr="00BF728F">
        <w:rPr>
          <w:rFonts w:ascii="Arial" w:hAnsi="Arial" w:cs="Arial"/>
          <w:b/>
          <w:bCs/>
        </w:rPr>
        <w:t xml:space="preserve">mil </w:t>
      </w:r>
      <w:r w:rsidR="00BF728F" w:rsidRPr="00BF728F">
        <w:rPr>
          <w:rFonts w:ascii="Arial" w:hAnsi="Arial" w:cs="Arial"/>
          <w:b/>
          <w:bCs/>
        </w:rPr>
        <w:t>diez</w:t>
      </w:r>
      <w:r w:rsidRPr="00BF728F">
        <w:rPr>
          <w:rFonts w:ascii="Arial" w:hAnsi="Arial" w:cs="Arial"/>
          <w:b/>
          <w:bCs/>
        </w:rPr>
        <w:t xml:space="preserve"> pesos 00/100 M.N.), </w:t>
      </w:r>
      <w:r w:rsidRPr="00E85C8C">
        <w:rPr>
          <w:rFonts w:ascii="Arial" w:hAnsi="Arial" w:cs="Arial"/>
        </w:rPr>
        <w:t>distribuidas de la forma siguiente:</w:t>
      </w:r>
    </w:p>
    <w:p w14:paraId="0DAD33A8" w14:textId="2A2B465B" w:rsidR="00BF728F" w:rsidRPr="00E85C8C" w:rsidRDefault="00BF728F" w:rsidP="00D60720">
      <w:pPr>
        <w:spacing w:line="360" w:lineRule="auto"/>
        <w:jc w:val="both"/>
        <w:rPr>
          <w:rFonts w:ascii="Arial" w:hAnsi="Arial" w:cs="Arial"/>
        </w:rPr>
      </w:pPr>
      <w:r w:rsidRPr="00BF728F">
        <w:rPr>
          <w:noProof/>
        </w:rPr>
        <w:drawing>
          <wp:inline distT="0" distB="0" distL="0" distR="0" wp14:anchorId="48E8A708" wp14:editId="7BC3E419">
            <wp:extent cx="5486400" cy="1016000"/>
            <wp:effectExtent l="0" t="0" r="0" b="0"/>
            <wp:docPr id="174252814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1016000"/>
                    </a:xfrm>
                    <a:prstGeom prst="rect">
                      <a:avLst/>
                    </a:prstGeom>
                    <a:noFill/>
                    <a:ln>
                      <a:noFill/>
                    </a:ln>
                  </pic:spPr>
                </pic:pic>
              </a:graphicData>
            </a:graphic>
          </wp:inline>
        </w:drawing>
      </w:r>
    </w:p>
    <w:p w14:paraId="7F52716C" w14:textId="44D2559D" w:rsidR="00AF664D" w:rsidRPr="00E85C8C" w:rsidRDefault="00AF664D" w:rsidP="00D60720">
      <w:pPr>
        <w:spacing w:line="360" w:lineRule="auto"/>
        <w:ind w:left="-142"/>
        <w:jc w:val="both"/>
        <w:rPr>
          <w:rFonts w:ascii="Arial" w:hAnsi="Arial" w:cs="Arial"/>
        </w:rPr>
      </w:pPr>
    </w:p>
    <w:p w14:paraId="18D6462E" w14:textId="54DDC48C" w:rsidR="00AF664D" w:rsidRPr="00E85C8C" w:rsidRDefault="00AF664D" w:rsidP="00D60720">
      <w:pPr>
        <w:spacing w:line="360" w:lineRule="auto"/>
        <w:jc w:val="both"/>
        <w:rPr>
          <w:rFonts w:ascii="Arial" w:hAnsi="Arial" w:cs="Arial"/>
        </w:rPr>
      </w:pPr>
      <w:r w:rsidRPr="00E85C8C">
        <w:rPr>
          <w:rFonts w:ascii="Arial" w:hAnsi="Arial" w:cs="Arial"/>
          <w:b/>
          <w:bCs/>
        </w:rPr>
        <w:t>Artículo 14.</w:t>
      </w:r>
      <w:r w:rsidRPr="00E85C8C">
        <w:rPr>
          <w:rFonts w:ascii="Arial" w:hAnsi="Arial" w:cs="Arial"/>
        </w:rPr>
        <w:t xml:space="preserve"> Las asignaciones para el Poder Judicial importan la cantidad de </w:t>
      </w:r>
      <w:r w:rsidR="00FF5D2E" w:rsidRPr="00FF5D2E">
        <w:rPr>
          <w:rFonts w:ascii="Arial" w:hAnsi="Arial" w:cs="Arial"/>
        </w:rPr>
        <w:t xml:space="preserve">    </w:t>
      </w:r>
      <w:r w:rsidR="00FF5D2E" w:rsidRPr="00BF728F">
        <w:rPr>
          <w:rFonts w:ascii="Arial" w:hAnsi="Arial" w:cs="Arial"/>
          <w:b/>
          <w:bCs/>
        </w:rPr>
        <w:t>$2,</w:t>
      </w:r>
      <w:r w:rsidR="00BF728F" w:rsidRPr="00BF728F">
        <w:rPr>
          <w:rFonts w:ascii="Arial" w:hAnsi="Arial" w:cs="Arial"/>
          <w:b/>
          <w:bCs/>
        </w:rPr>
        <w:t>090</w:t>
      </w:r>
      <w:r w:rsidR="00FF5D2E" w:rsidRPr="00BF728F">
        <w:rPr>
          <w:rFonts w:ascii="Arial" w:hAnsi="Arial" w:cs="Arial"/>
          <w:b/>
          <w:bCs/>
        </w:rPr>
        <w:t>,554,443.00 (Dos mil noventa millones quinientos cincuenta y cuatro mil cuatrocientos cuarenta y tres pesos 00/100 M.N.)</w:t>
      </w:r>
    </w:p>
    <w:p w14:paraId="6F4F159F" w14:textId="77777777" w:rsidR="00AF664D" w:rsidRPr="00E85C8C" w:rsidRDefault="00AF664D" w:rsidP="00D60720">
      <w:pPr>
        <w:spacing w:line="360" w:lineRule="auto"/>
        <w:jc w:val="both"/>
        <w:rPr>
          <w:rFonts w:ascii="Arial" w:hAnsi="Arial" w:cs="Arial"/>
        </w:rPr>
      </w:pPr>
    </w:p>
    <w:p w14:paraId="47FD5678" w14:textId="0E40711A" w:rsidR="00AF664D" w:rsidRDefault="00AF664D" w:rsidP="00D60720">
      <w:pPr>
        <w:spacing w:line="360" w:lineRule="auto"/>
        <w:jc w:val="both"/>
        <w:rPr>
          <w:rFonts w:ascii="Arial" w:hAnsi="Arial" w:cs="Arial"/>
        </w:rPr>
      </w:pPr>
      <w:r w:rsidRPr="00E85C8C">
        <w:rPr>
          <w:rFonts w:ascii="Arial" w:hAnsi="Arial" w:cs="Arial"/>
          <w:b/>
          <w:bCs/>
        </w:rPr>
        <w:t>Artículo 15.</w:t>
      </w:r>
      <w:r w:rsidRPr="00E85C8C">
        <w:rPr>
          <w:rFonts w:ascii="Arial" w:hAnsi="Arial" w:cs="Arial"/>
        </w:rPr>
        <w:t xml:space="preserve"> Las asignaciones para los Organismos Autónomos ascienden a la cantidad de </w:t>
      </w:r>
      <w:r w:rsidRPr="00B52BDF">
        <w:rPr>
          <w:rFonts w:ascii="Arial" w:hAnsi="Arial" w:cs="Arial"/>
          <w:b/>
          <w:bCs/>
        </w:rPr>
        <w:t>$</w:t>
      </w:r>
      <w:r w:rsidR="00F76F44" w:rsidRPr="00B52BDF">
        <w:rPr>
          <w:rFonts w:ascii="Arial" w:hAnsi="Arial" w:cs="Arial"/>
          <w:b/>
          <w:bCs/>
        </w:rPr>
        <w:t>7</w:t>
      </w:r>
      <w:r w:rsidRPr="00B52BDF">
        <w:rPr>
          <w:rFonts w:ascii="Arial" w:hAnsi="Arial" w:cs="Arial"/>
          <w:b/>
          <w:bCs/>
        </w:rPr>
        <w:t>,</w:t>
      </w:r>
      <w:r w:rsidR="00F76F44" w:rsidRPr="00B52BDF">
        <w:rPr>
          <w:rFonts w:ascii="Arial" w:hAnsi="Arial" w:cs="Arial"/>
          <w:b/>
          <w:bCs/>
        </w:rPr>
        <w:t>624</w:t>
      </w:r>
      <w:r w:rsidRPr="00B52BDF">
        <w:rPr>
          <w:rFonts w:ascii="Arial" w:hAnsi="Arial" w:cs="Arial"/>
          <w:b/>
          <w:bCs/>
        </w:rPr>
        <w:t>,</w:t>
      </w:r>
      <w:r w:rsidR="00F76F44" w:rsidRPr="00B52BDF">
        <w:rPr>
          <w:rFonts w:ascii="Arial" w:hAnsi="Arial" w:cs="Arial"/>
          <w:b/>
          <w:bCs/>
        </w:rPr>
        <w:t>077</w:t>
      </w:r>
      <w:r w:rsidRPr="00B52BDF">
        <w:rPr>
          <w:rFonts w:ascii="Arial" w:hAnsi="Arial" w:cs="Arial"/>
          <w:b/>
          <w:bCs/>
        </w:rPr>
        <w:t>,</w:t>
      </w:r>
      <w:r w:rsidR="00F76F44" w:rsidRPr="00B52BDF">
        <w:rPr>
          <w:rFonts w:ascii="Arial" w:hAnsi="Arial" w:cs="Arial"/>
          <w:b/>
          <w:bCs/>
        </w:rPr>
        <w:t>605</w:t>
      </w:r>
      <w:r w:rsidRPr="00B52BDF">
        <w:rPr>
          <w:rFonts w:ascii="Arial" w:hAnsi="Arial" w:cs="Arial"/>
          <w:b/>
          <w:bCs/>
        </w:rPr>
        <w:t>.00 (S</w:t>
      </w:r>
      <w:r w:rsidR="00F76F44" w:rsidRPr="00B52BDF">
        <w:rPr>
          <w:rFonts w:ascii="Arial" w:hAnsi="Arial" w:cs="Arial"/>
          <w:b/>
          <w:bCs/>
        </w:rPr>
        <w:t>iete</w:t>
      </w:r>
      <w:r w:rsidRPr="00B52BDF">
        <w:rPr>
          <w:rFonts w:ascii="Arial" w:hAnsi="Arial" w:cs="Arial"/>
          <w:b/>
          <w:bCs/>
        </w:rPr>
        <w:t xml:space="preserve"> mil </w:t>
      </w:r>
      <w:r w:rsidR="00F76F44" w:rsidRPr="00B52BDF">
        <w:rPr>
          <w:rFonts w:ascii="Arial" w:hAnsi="Arial" w:cs="Arial"/>
          <w:b/>
          <w:bCs/>
        </w:rPr>
        <w:t>seiscientos veinticuatro</w:t>
      </w:r>
      <w:r w:rsidRPr="00B52BDF">
        <w:rPr>
          <w:rFonts w:ascii="Arial" w:hAnsi="Arial" w:cs="Arial"/>
          <w:b/>
          <w:bCs/>
        </w:rPr>
        <w:t xml:space="preserve"> millones </w:t>
      </w:r>
      <w:r w:rsidR="00B52BDF" w:rsidRPr="00B52BDF">
        <w:rPr>
          <w:rFonts w:ascii="Arial" w:hAnsi="Arial" w:cs="Arial"/>
          <w:b/>
          <w:bCs/>
        </w:rPr>
        <w:t>setenta y siete</w:t>
      </w:r>
      <w:r w:rsidRPr="00B52BDF">
        <w:rPr>
          <w:rFonts w:ascii="Arial" w:hAnsi="Arial" w:cs="Arial"/>
          <w:b/>
          <w:bCs/>
        </w:rPr>
        <w:t xml:space="preserve"> mil </w:t>
      </w:r>
      <w:r w:rsidR="00B52BDF" w:rsidRPr="00B52BDF">
        <w:rPr>
          <w:rFonts w:ascii="Arial" w:hAnsi="Arial" w:cs="Arial"/>
          <w:b/>
          <w:bCs/>
        </w:rPr>
        <w:t>seiscientos cinco</w:t>
      </w:r>
      <w:r w:rsidRPr="00B52BDF">
        <w:rPr>
          <w:rFonts w:ascii="Arial" w:hAnsi="Arial" w:cs="Arial"/>
          <w:b/>
          <w:bCs/>
        </w:rPr>
        <w:t xml:space="preserve"> pesos 00/100 M.N.), </w:t>
      </w:r>
      <w:r w:rsidRPr="00E85C8C">
        <w:rPr>
          <w:rFonts w:ascii="Arial" w:hAnsi="Arial" w:cs="Arial"/>
        </w:rPr>
        <w:t>distribuida de la siguiente manera:</w:t>
      </w:r>
    </w:p>
    <w:p w14:paraId="324BBC85" w14:textId="213F1A6A" w:rsidR="00B52BDF" w:rsidRPr="00E85C8C" w:rsidRDefault="00B52BDF" w:rsidP="00D60720">
      <w:pPr>
        <w:spacing w:line="360" w:lineRule="auto"/>
        <w:jc w:val="both"/>
        <w:rPr>
          <w:rFonts w:ascii="Arial" w:hAnsi="Arial" w:cs="Arial"/>
        </w:rPr>
      </w:pPr>
      <w:r w:rsidRPr="00B52BDF">
        <w:rPr>
          <w:noProof/>
        </w:rPr>
        <w:drawing>
          <wp:inline distT="0" distB="0" distL="0" distR="0" wp14:anchorId="476DB2B9" wp14:editId="28E16F49">
            <wp:extent cx="5486400" cy="1636395"/>
            <wp:effectExtent l="0" t="0" r="0" b="1905"/>
            <wp:docPr id="1292829107"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1636395"/>
                    </a:xfrm>
                    <a:prstGeom prst="rect">
                      <a:avLst/>
                    </a:prstGeom>
                    <a:noFill/>
                    <a:ln>
                      <a:noFill/>
                    </a:ln>
                  </pic:spPr>
                </pic:pic>
              </a:graphicData>
            </a:graphic>
          </wp:inline>
        </w:drawing>
      </w:r>
    </w:p>
    <w:p w14:paraId="5CEB0E09" w14:textId="249939D5" w:rsidR="00AF664D" w:rsidRPr="00E85C8C" w:rsidRDefault="00AF664D" w:rsidP="00D60720">
      <w:pPr>
        <w:spacing w:line="360" w:lineRule="auto"/>
        <w:jc w:val="both"/>
        <w:rPr>
          <w:rFonts w:ascii="Arial" w:eastAsia="Arial" w:hAnsi="Arial" w:cs="Arial"/>
          <w:bCs/>
          <w:shd w:val="clear" w:color="auto" w:fill="FFFF00"/>
        </w:rPr>
      </w:pPr>
    </w:p>
    <w:p w14:paraId="4086644F" w14:textId="77777777" w:rsidR="00AF664D" w:rsidRDefault="00AF664D" w:rsidP="00D60720">
      <w:pPr>
        <w:spacing w:line="360" w:lineRule="auto"/>
        <w:jc w:val="both"/>
        <w:rPr>
          <w:rFonts w:ascii="Arial" w:hAnsi="Arial" w:cs="Arial"/>
        </w:rPr>
      </w:pPr>
      <w:r w:rsidRPr="00E85C8C">
        <w:rPr>
          <w:rFonts w:ascii="Arial" w:hAnsi="Arial" w:cs="Arial"/>
          <w:b/>
          <w:bCs/>
        </w:rPr>
        <w:t>Artículo 16.</w:t>
      </w:r>
      <w:r w:rsidRPr="00E85C8C">
        <w:rPr>
          <w:rFonts w:ascii="Arial" w:hAnsi="Arial" w:cs="Arial"/>
        </w:rPr>
        <w:t xml:space="preserve"> De acuerdo con la Clasificación por Objeto del Gasto, el Presupuesto de Egresos del Estado se distribuye de la siguiente forma:</w:t>
      </w:r>
    </w:p>
    <w:p w14:paraId="71BDC69D" w14:textId="01B65E17" w:rsidR="00B52BDF" w:rsidRPr="00E85C8C" w:rsidRDefault="00B52BDF" w:rsidP="00D60720">
      <w:pPr>
        <w:spacing w:line="360" w:lineRule="auto"/>
        <w:jc w:val="both"/>
        <w:rPr>
          <w:rFonts w:ascii="Arial" w:hAnsi="Arial" w:cs="Arial"/>
        </w:rPr>
      </w:pPr>
      <w:r w:rsidRPr="00B52BDF">
        <w:rPr>
          <w:noProof/>
        </w:rPr>
        <w:drawing>
          <wp:inline distT="0" distB="0" distL="0" distR="0" wp14:anchorId="4B9E7D9C" wp14:editId="7398CC19">
            <wp:extent cx="6011675" cy="2238375"/>
            <wp:effectExtent l="0" t="0" r="8255" b="0"/>
            <wp:docPr id="27917396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14524" cy="2239436"/>
                    </a:xfrm>
                    <a:prstGeom prst="rect">
                      <a:avLst/>
                    </a:prstGeom>
                    <a:noFill/>
                    <a:ln>
                      <a:noFill/>
                    </a:ln>
                  </pic:spPr>
                </pic:pic>
              </a:graphicData>
            </a:graphic>
          </wp:inline>
        </w:drawing>
      </w:r>
    </w:p>
    <w:p w14:paraId="7EC2F9E5" w14:textId="254C59ED" w:rsidR="00AF664D" w:rsidRPr="00E85C8C" w:rsidRDefault="00AF664D" w:rsidP="00D60720">
      <w:pPr>
        <w:spacing w:line="360" w:lineRule="auto"/>
        <w:jc w:val="both"/>
        <w:rPr>
          <w:rFonts w:ascii="Arial" w:hAnsi="Arial" w:cs="Arial"/>
        </w:rPr>
      </w:pPr>
    </w:p>
    <w:p w14:paraId="18F9C62C" w14:textId="77777777" w:rsidR="00AF664D" w:rsidRDefault="00AF664D" w:rsidP="00D60720">
      <w:pPr>
        <w:spacing w:line="360" w:lineRule="auto"/>
        <w:jc w:val="both"/>
        <w:rPr>
          <w:rFonts w:ascii="Arial" w:hAnsi="Arial" w:cs="Arial"/>
        </w:rPr>
      </w:pPr>
      <w:r w:rsidRPr="00E85C8C">
        <w:rPr>
          <w:rFonts w:ascii="Arial" w:hAnsi="Arial" w:cs="Arial"/>
          <w:b/>
          <w:bCs/>
        </w:rPr>
        <w:t>Artículo 17.</w:t>
      </w:r>
      <w:r w:rsidRPr="00E85C8C">
        <w:rPr>
          <w:rFonts w:ascii="Arial" w:hAnsi="Arial" w:cs="Arial"/>
        </w:rPr>
        <w:t xml:space="preserve"> De acuerdo con la Clasificación Económica por Tipo de Gasto, el Presupuesto de Egresos del Estado se distribuye de la siguiente forma:</w:t>
      </w:r>
    </w:p>
    <w:p w14:paraId="413442C0" w14:textId="11B3A7AC" w:rsidR="00AF664D" w:rsidRPr="00D60720" w:rsidRDefault="00B52BDF" w:rsidP="00D60720">
      <w:pPr>
        <w:spacing w:line="360" w:lineRule="auto"/>
        <w:jc w:val="both"/>
        <w:rPr>
          <w:rFonts w:ascii="Arial" w:hAnsi="Arial" w:cs="Arial"/>
        </w:rPr>
      </w:pPr>
      <w:r w:rsidRPr="00B52BDF">
        <w:rPr>
          <w:noProof/>
        </w:rPr>
        <w:drawing>
          <wp:inline distT="0" distB="0" distL="0" distR="0" wp14:anchorId="173E3409" wp14:editId="3B3C6A62">
            <wp:extent cx="5638800" cy="2754789"/>
            <wp:effectExtent l="0" t="0" r="0" b="7620"/>
            <wp:docPr id="145703496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41752" cy="2756231"/>
                    </a:xfrm>
                    <a:prstGeom prst="rect">
                      <a:avLst/>
                    </a:prstGeom>
                    <a:noFill/>
                    <a:ln>
                      <a:noFill/>
                    </a:ln>
                  </pic:spPr>
                </pic:pic>
              </a:graphicData>
            </a:graphic>
          </wp:inline>
        </w:drawing>
      </w:r>
    </w:p>
    <w:p w14:paraId="0CF1A582" w14:textId="77777777" w:rsidR="00AF664D" w:rsidRDefault="00AF664D" w:rsidP="00D60720">
      <w:pPr>
        <w:spacing w:line="360" w:lineRule="auto"/>
        <w:jc w:val="both"/>
        <w:rPr>
          <w:rFonts w:ascii="Arial" w:hAnsi="Arial" w:cs="Arial"/>
        </w:rPr>
      </w:pPr>
      <w:r w:rsidRPr="00E85C8C">
        <w:rPr>
          <w:rFonts w:ascii="Arial" w:hAnsi="Arial" w:cs="Arial"/>
          <w:b/>
          <w:bCs/>
        </w:rPr>
        <w:t>Artículo 18.</w:t>
      </w:r>
      <w:r w:rsidRPr="00E85C8C">
        <w:rPr>
          <w:rFonts w:ascii="Arial" w:hAnsi="Arial" w:cs="Arial"/>
        </w:rPr>
        <w:t xml:space="preserve"> De acuerdo con la Clasificación Funcional, el Presupuesto de Egresos del Estado se distribuye de la siguiente forma:</w:t>
      </w:r>
    </w:p>
    <w:p w14:paraId="2D6712F7" w14:textId="656A31E2" w:rsidR="00AF664D" w:rsidRPr="00FC2D3D" w:rsidRDefault="00B52BDF" w:rsidP="00FC2D3D">
      <w:pPr>
        <w:spacing w:line="360" w:lineRule="auto"/>
        <w:jc w:val="both"/>
        <w:rPr>
          <w:rFonts w:ascii="Arial" w:hAnsi="Arial" w:cs="Arial"/>
        </w:rPr>
      </w:pPr>
      <w:r w:rsidRPr="00B52BDF">
        <w:rPr>
          <w:noProof/>
        </w:rPr>
        <w:drawing>
          <wp:inline distT="0" distB="0" distL="0" distR="0" wp14:anchorId="5CE960A6" wp14:editId="073367F2">
            <wp:extent cx="5248275" cy="2891907"/>
            <wp:effectExtent l="0" t="0" r="0" b="3810"/>
            <wp:docPr id="1865757308"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48700" cy="2892141"/>
                    </a:xfrm>
                    <a:prstGeom prst="rect">
                      <a:avLst/>
                    </a:prstGeom>
                    <a:noFill/>
                    <a:ln>
                      <a:noFill/>
                    </a:ln>
                  </pic:spPr>
                </pic:pic>
              </a:graphicData>
            </a:graphic>
          </wp:inline>
        </w:drawing>
      </w:r>
    </w:p>
    <w:p w14:paraId="664F640C" w14:textId="77777777" w:rsidR="00AF664D" w:rsidRPr="00E85C8C" w:rsidRDefault="00AF664D" w:rsidP="00D60720">
      <w:pPr>
        <w:spacing w:line="360" w:lineRule="auto"/>
        <w:jc w:val="both"/>
        <w:rPr>
          <w:rFonts w:ascii="Arial" w:hAnsi="Arial" w:cs="Arial"/>
        </w:rPr>
      </w:pPr>
      <w:r w:rsidRPr="00E85C8C">
        <w:rPr>
          <w:rFonts w:ascii="Arial" w:hAnsi="Arial" w:cs="Arial"/>
          <w:b/>
          <w:bCs/>
        </w:rPr>
        <w:t>Artículo 19.</w:t>
      </w:r>
      <w:r w:rsidRPr="00E85C8C">
        <w:rPr>
          <w:rFonts w:ascii="Arial" w:hAnsi="Arial" w:cs="Arial"/>
        </w:rPr>
        <w:t xml:space="preserve"> Los anexos presupuestarios que contienen el detalle de las erogaciones previstas en este Decreto son complementados conforme a lo siguiente:</w:t>
      </w:r>
    </w:p>
    <w:p w14:paraId="0EBE03CB" w14:textId="77777777" w:rsidR="00AF664D" w:rsidRPr="00E85C8C" w:rsidRDefault="00AF664D" w:rsidP="00D60720">
      <w:pPr>
        <w:spacing w:line="360" w:lineRule="auto"/>
        <w:jc w:val="both"/>
        <w:rPr>
          <w:rFonts w:ascii="Arial" w:hAnsi="Arial" w:cs="Arial"/>
        </w:rPr>
      </w:pPr>
    </w:p>
    <w:p w14:paraId="2AA437A6" w14:textId="77777777" w:rsidR="00AF664D" w:rsidRPr="00E85C8C" w:rsidRDefault="00AF664D" w:rsidP="00D60720">
      <w:pPr>
        <w:pStyle w:val="Prrafodelista"/>
        <w:numPr>
          <w:ilvl w:val="0"/>
          <w:numId w:val="48"/>
        </w:numPr>
        <w:suppressAutoHyphens/>
        <w:autoSpaceDN w:val="0"/>
        <w:spacing w:line="360" w:lineRule="auto"/>
        <w:contextualSpacing w:val="0"/>
        <w:jc w:val="both"/>
        <w:rPr>
          <w:rFonts w:ascii="Arial" w:eastAsia="Arial" w:hAnsi="Arial" w:cs="Arial"/>
        </w:rPr>
      </w:pPr>
      <w:bookmarkStart w:id="0" w:name="_Hlk150858653"/>
      <w:r w:rsidRPr="00E85C8C">
        <w:rPr>
          <w:rFonts w:ascii="Arial" w:eastAsia="Arial" w:hAnsi="Arial" w:cs="Arial"/>
        </w:rPr>
        <w:t>Exposición de motivos.</w:t>
      </w:r>
    </w:p>
    <w:p w14:paraId="78F797EB" w14:textId="77777777" w:rsidR="00AF664D" w:rsidRPr="00E85C8C" w:rsidRDefault="00AF664D" w:rsidP="00D60720">
      <w:pPr>
        <w:pStyle w:val="Prrafodelista"/>
        <w:numPr>
          <w:ilvl w:val="0"/>
          <w:numId w:val="48"/>
        </w:numPr>
        <w:suppressAutoHyphens/>
        <w:autoSpaceDN w:val="0"/>
        <w:spacing w:line="360" w:lineRule="auto"/>
        <w:contextualSpacing w:val="0"/>
        <w:jc w:val="both"/>
        <w:rPr>
          <w:rFonts w:ascii="Arial" w:eastAsia="Arial" w:hAnsi="Arial" w:cs="Arial"/>
        </w:rPr>
      </w:pPr>
      <w:r w:rsidRPr="00E85C8C">
        <w:rPr>
          <w:rFonts w:ascii="Arial" w:eastAsia="Arial" w:hAnsi="Arial" w:cs="Arial"/>
        </w:rPr>
        <w:t>Asignación de Programas y Subprogramas presupuestarios.</w:t>
      </w:r>
    </w:p>
    <w:p w14:paraId="4D8C108D" w14:textId="77777777" w:rsidR="00AF664D" w:rsidRPr="00E85C8C" w:rsidRDefault="00AF664D" w:rsidP="00D60720">
      <w:pPr>
        <w:pStyle w:val="Prrafodelista"/>
        <w:numPr>
          <w:ilvl w:val="0"/>
          <w:numId w:val="48"/>
        </w:numPr>
        <w:suppressAutoHyphens/>
        <w:autoSpaceDN w:val="0"/>
        <w:spacing w:line="360" w:lineRule="auto"/>
        <w:contextualSpacing w:val="0"/>
        <w:jc w:val="both"/>
        <w:rPr>
          <w:rFonts w:ascii="Arial" w:eastAsia="Arial" w:hAnsi="Arial" w:cs="Arial"/>
        </w:rPr>
      </w:pPr>
      <w:r w:rsidRPr="00E85C8C">
        <w:rPr>
          <w:rFonts w:ascii="Arial" w:eastAsia="Arial" w:hAnsi="Arial" w:cs="Arial"/>
        </w:rPr>
        <w:t>Estudio actuarial de las pensiones de los trabajadores.</w:t>
      </w:r>
    </w:p>
    <w:p w14:paraId="1163C692" w14:textId="77777777" w:rsidR="00AF664D" w:rsidRPr="00E85C8C" w:rsidRDefault="00AF664D" w:rsidP="00D60720">
      <w:pPr>
        <w:pStyle w:val="Prrafodelista"/>
        <w:numPr>
          <w:ilvl w:val="0"/>
          <w:numId w:val="48"/>
        </w:numPr>
        <w:suppressAutoHyphens/>
        <w:autoSpaceDN w:val="0"/>
        <w:spacing w:line="360" w:lineRule="auto"/>
        <w:contextualSpacing w:val="0"/>
        <w:jc w:val="both"/>
        <w:rPr>
          <w:rFonts w:ascii="Arial" w:eastAsia="Arial" w:hAnsi="Arial" w:cs="Arial"/>
        </w:rPr>
      </w:pPr>
      <w:r w:rsidRPr="00E85C8C">
        <w:rPr>
          <w:rFonts w:ascii="Arial" w:eastAsia="Arial" w:hAnsi="Arial" w:cs="Arial"/>
        </w:rPr>
        <w:t>Situación de la deuda pública al final del ejercicio presupuestal y estimación al cierre.</w:t>
      </w:r>
    </w:p>
    <w:p w14:paraId="3BC57E3F" w14:textId="77777777" w:rsidR="00AF664D" w:rsidRPr="00E85C8C" w:rsidRDefault="00AF664D" w:rsidP="00D60720">
      <w:pPr>
        <w:pStyle w:val="Prrafodelista"/>
        <w:numPr>
          <w:ilvl w:val="0"/>
          <w:numId w:val="48"/>
        </w:numPr>
        <w:suppressAutoHyphens/>
        <w:autoSpaceDN w:val="0"/>
        <w:spacing w:line="360" w:lineRule="auto"/>
        <w:contextualSpacing w:val="0"/>
        <w:jc w:val="both"/>
        <w:rPr>
          <w:rFonts w:ascii="Arial" w:hAnsi="Arial" w:cs="Arial"/>
        </w:rPr>
      </w:pPr>
      <w:r w:rsidRPr="00E85C8C">
        <w:rPr>
          <w:rFonts w:ascii="Arial" w:eastAsia="Arial" w:hAnsi="Arial" w:cs="Arial"/>
        </w:rPr>
        <w:t>Plantillas de personal.</w:t>
      </w:r>
    </w:p>
    <w:p w14:paraId="2288FB00" w14:textId="77777777" w:rsidR="00AF664D" w:rsidRPr="00E85C8C" w:rsidRDefault="00AF664D" w:rsidP="00D60720">
      <w:pPr>
        <w:pStyle w:val="Prrafodelista"/>
        <w:numPr>
          <w:ilvl w:val="0"/>
          <w:numId w:val="48"/>
        </w:numPr>
        <w:suppressAutoHyphens/>
        <w:autoSpaceDN w:val="0"/>
        <w:spacing w:line="360" w:lineRule="auto"/>
        <w:contextualSpacing w:val="0"/>
        <w:jc w:val="both"/>
        <w:rPr>
          <w:rFonts w:ascii="Arial" w:eastAsia="Arial" w:hAnsi="Arial" w:cs="Arial"/>
        </w:rPr>
      </w:pPr>
      <w:r w:rsidRPr="00E85C8C">
        <w:rPr>
          <w:rFonts w:ascii="Arial" w:eastAsia="Arial" w:hAnsi="Arial" w:cs="Arial"/>
        </w:rPr>
        <w:t>Erogaciones específicas de servicios personales.</w:t>
      </w:r>
    </w:p>
    <w:p w14:paraId="7C11E6BE" w14:textId="77777777" w:rsidR="00AF664D" w:rsidRPr="00E85C8C" w:rsidRDefault="00AF664D" w:rsidP="00D60720">
      <w:pPr>
        <w:pStyle w:val="Prrafodelista"/>
        <w:numPr>
          <w:ilvl w:val="0"/>
          <w:numId w:val="48"/>
        </w:numPr>
        <w:suppressAutoHyphens/>
        <w:autoSpaceDN w:val="0"/>
        <w:spacing w:line="360" w:lineRule="auto"/>
        <w:contextualSpacing w:val="0"/>
        <w:jc w:val="both"/>
        <w:rPr>
          <w:rFonts w:ascii="Arial" w:eastAsia="Arial" w:hAnsi="Arial" w:cs="Arial"/>
        </w:rPr>
      </w:pPr>
      <w:r w:rsidRPr="00E85C8C">
        <w:rPr>
          <w:rFonts w:ascii="Arial" w:eastAsia="Arial" w:hAnsi="Arial" w:cs="Arial"/>
        </w:rPr>
        <w:t>Proyectos de presupuesto: Poder Legislativo, Judicial, Organismos Autónomos y Entidades.</w:t>
      </w:r>
    </w:p>
    <w:p w14:paraId="55CE0C9F" w14:textId="77777777" w:rsidR="00AF664D" w:rsidRPr="00E85C8C" w:rsidRDefault="00AF664D" w:rsidP="00D60720">
      <w:pPr>
        <w:pStyle w:val="Prrafodelista"/>
        <w:numPr>
          <w:ilvl w:val="0"/>
          <w:numId w:val="48"/>
        </w:numPr>
        <w:suppressAutoHyphens/>
        <w:autoSpaceDN w:val="0"/>
        <w:spacing w:line="360" w:lineRule="auto"/>
        <w:contextualSpacing w:val="0"/>
        <w:jc w:val="both"/>
        <w:rPr>
          <w:rFonts w:ascii="Arial" w:eastAsia="Arial" w:hAnsi="Arial" w:cs="Arial"/>
        </w:rPr>
      </w:pPr>
      <w:r w:rsidRPr="00E85C8C">
        <w:rPr>
          <w:rFonts w:ascii="Arial" w:eastAsia="Arial" w:hAnsi="Arial" w:cs="Arial"/>
        </w:rPr>
        <w:t>Consolidación del presupuesto por programas presupuestarios.</w:t>
      </w:r>
    </w:p>
    <w:p w14:paraId="5CC70481" w14:textId="77777777" w:rsidR="00AF664D" w:rsidRDefault="00AF664D" w:rsidP="00D60720">
      <w:pPr>
        <w:pStyle w:val="Prrafodelista"/>
        <w:numPr>
          <w:ilvl w:val="0"/>
          <w:numId w:val="48"/>
        </w:numPr>
        <w:suppressAutoHyphens/>
        <w:autoSpaceDN w:val="0"/>
        <w:spacing w:line="360" w:lineRule="auto"/>
        <w:contextualSpacing w:val="0"/>
        <w:jc w:val="both"/>
        <w:rPr>
          <w:rFonts w:ascii="Arial" w:eastAsia="Arial" w:hAnsi="Arial" w:cs="Arial"/>
        </w:rPr>
      </w:pPr>
      <w:r w:rsidRPr="00E85C8C">
        <w:rPr>
          <w:rFonts w:ascii="Arial" w:eastAsia="Arial" w:hAnsi="Arial" w:cs="Arial"/>
        </w:rPr>
        <w:t xml:space="preserve">Presentar el presupuesto de manera consolidada conforme </w:t>
      </w:r>
      <w:r>
        <w:rPr>
          <w:rFonts w:ascii="Arial" w:eastAsia="Arial" w:hAnsi="Arial" w:cs="Arial"/>
        </w:rPr>
        <w:t xml:space="preserve">a lo </w:t>
      </w:r>
      <w:r w:rsidRPr="00E85C8C">
        <w:rPr>
          <w:rFonts w:ascii="Arial" w:eastAsia="Arial" w:hAnsi="Arial" w:cs="Arial"/>
        </w:rPr>
        <w:t>dispuesto por el Consejo Nacional de Armonización Contable y a la Ley de Disciplina Financiera de las Entidades Federativas y los Municipios.</w:t>
      </w:r>
    </w:p>
    <w:bookmarkEnd w:id="0"/>
    <w:p w14:paraId="0163A83A" w14:textId="77777777" w:rsidR="00AF664D" w:rsidRPr="00E85C8C" w:rsidRDefault="00AF664D" w:rsidP="00D60720">
      <w:pPr>
        <w:spacing w:line="360" w:lineRule="auto"/>
        <w:jc w:val="both"/>
        <w:rPr>
          <w:rFonts w:ascii="Arial" w:eastAsia="Arial" w:hAnsi="Arial" w:cs="Arial"/>
          <w:bCs/>
          <w:shd w:val="clear" w:color="auto" w:fill="FFFF00"/>
          <w:lang w:val="es-ES"/>
        </w:rPr>
      </w:pPr>
    </w:p>
    <w:p w14:paraId="67396DD1"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III</w:t>
      </w:r>
    </w:p>
    <w:p w14:paraId="2136E656"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 LOS FONDOS DE APORTACIONES Y GASTO FEDERAL REASIGNADO A TRAVÉS DE CONVENIO</w:t>
      </w:r>
    </w:p>
    <w:p w14:paraId="522F3666" w14:textId="77777777" w:rsidR="00AF664D" w:rsidRPr="00E85C8C" w:rsidRDefault="00AF664D" w:rsidP="00D60720">
      <w:pPr>
        <w:spacing w:line="360" w:lineRule="auto"/>
        <w:jc w:val="both"/>
        <w:rPr>
          <w:rFonts w:ascii="Arial" w:eastAsia="Arial" w:hAnsi="Arial" w:cs="Arial"/>
          <w:bCs/>
          <w:shd w:val="clear" w:color="auto" w:fill="FFFF00"/>
        </w:rPr>
      </w:pPr>
    </w:p>
    <w:p w14:paraId="7846D9FE"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20.</w:t>
      </w:r>
      <w:r w:rsidRPr="00E85C8C">
        <w:rPr>
          <w:rFonts w:ascii="Arial" w:eastAsia="Arial" w:hAnsi="Arial" w:cs="Arial"/>
        </w:rPr>
        <w:t xml:space="preserve"> Las ministraciones de recursos federales a los ejecutores del gasto se realizarán de conformidad con las disposiciones aplicables en el ámbito estatal, atendiendo al principio de la anualidad y a los calendarios de gasto autorizados.</w:t>
      </w:r>
    </w:p>
    <w:p w14:paraId="5125D78A" w14:textId="77777777" w:rsidR="00AF664D" w:rsidRPr="00E85C8C" w:rsidRDefault="00AF664D" w:rsidP="00D60720">
      <w:pPr>
        <w:spacing w:line="360" w:lineRule="auto"/>
        <w:jc w:val="both"/>
        <w:rPr>
          <w:rFonts w:ascii="Arial" w:eastAsia="Arial" w:hAnsi="Arial" w:cs="Arial"/>
        </w:rPr>
      </w:pPr>
    </w:p>
    <w:p w14:paraId="33CAA31F"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 xml:space="preserve">En el caso de los programas que prevean la aportación de recursos federales para ser ejercidos de manera concurrente con recursos estatales, el Gobierno deberá realizar las aportaciones de recursos que le correspondan en las cuentas específicas correspondientes. </w:t>
      </w:r>
    </w:p>
    <w:p w14:paraId="7FE0BBDE" w14:textId="77777777" w:rsidR="00AF664D" w:rsidRPr="00E85C8C" w:rsidRDefault="00AF664D" w:rsidP="00D60720">
      <w:pPr>
        <w:spacing w:line="360" w:lineRule="auto"/>
        <w:jc w:val="both"/>
        <w:rPr>
          <w:rFonts w:ascii="Arial" w:eastAsia="Arial" w:hAnsi="Arial" w:cs="Arial"/>
        </w:rPr>
      </w:pPr>
    </w:p>
    <w:p w14:paraId="6B942B28"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 xml:space="preserve">Artículo 21. </w:t>
      </w:r>
      <w:r w:rsidRPr="00E85C8C">
        <w:rPr>
          <w:rFonts w:ascii="Arial" w:eastAsia="Arial" w:hAnsi="Arial" w:cs="Arial"/>
        </w:rPr>
        <w:t>Los recursos que transfiera la Secretaría de Finanzas y Administración a los entes con autonomía de gestión, en materia de transferencias, asignaciones, subsidios y otras ayudas no pierden su naturaleza de procedencia, por lo que éstos se aplicaran, comprobarán e informarán en los términos de las disposiciones aplicables para cada uno de los fondos y programas, debiéndose observar lo siguiente:</w:t>
      </w:r>
    </w:p>
    <w:p w14:paraId="2E4892F2" w14:textId="77777777" w:rsidR="00AF664D" w:rsidRPr="00E85C8C" w:rsidRDefault="00AF664D" w:rsidP="00D60720">
      <w:pPr>
        <w:spacing w:line="360" w:lineRule="auto"/>
        <w:jc w:val="both"/>
        <w:rPr>
          <w:rFonts w:ascii="Arial" w:eastAsia="Arial" w:hAnsi="Arial" w:cs="Arial"/>
        </w:rPr>
      </w:pPr>
    </w:p>
    <w:p w14:paraId="313A19AB" w14:textId="77777777" w:rsidR="00AF664D" w:rsidRPr="00E85C8C" w:rsidRDefault="00AF664D" w:rsidP="00D60720">
      <w:pPr>
        <w:numPr>
          <w:ilvl w:val="0"/>
          <w:numId w:val="40"/>
        </w:numPr>
        <w:autoSpaceDN w:val="0"/>
        <w:spacing w:line="360" w:lineRule="auto"/>
        <w:jc w:val="both"/>
        <w:rPr>
          <w:rFonts w:ascii="Arial" w:eastAsia="Arial" w:hAnsi="Arial" w:cs="Arial"/>
        </w:rPr>
      </w:pPr>
      <w:r w:rsidRPr="00E85C8C">
        <w:rPr>
          <w:rFonts w:ascii="Arial" w:eastAsia="Arial" w:hAnsi="Arial" w:cs="Arial"/>
        </w:rPr>
        <w:t>Para dar cumplimiento a lo antes dispuesto la Secretaría de Finanzas y Administración en coordinación con las ejecutoras del gasto, celebrarán los convenios respectivos que le permitan dar cumplimiento al presente artículo;</w:t>
      </w:r>
    </w:p>
    <w:p w14:paraId="1CF7811A" w14:textId="77777777" w:rsidR="00AF664D" w:rsidRPr="00E85C8C" w:rsidRDefault="00AF664D" w:rsidP="00D60720">
      <w:pPr>
        <w:autoSpaceDN w:val="0"/>
        <w:spacing w:line="360" w:lineRule="auto"/>
        <w:ind w:left="720"/>
        <w:jc w:val="both"/>
        <w:rPr>
          <w:rFonts w:ascii="Arial" w:eastAsia="Arial" w:hAnsi="Arial" w:cs="Arial"/>
        </w:rPr>
      </w:pPr>
    </w:p>
    <w:p w14:paraId="5E207CF6" w14:textId="77777777" w:rsidR="00AF664D" w:rsidRPr="00E85C8C" w:rsidRDefault="00AF664D" w:rsidP="00D60720">
      <w:pPr>
        <w:numPr>
          <w:ilvl w:val="0"/>
          <w:numId w:val="40"/>
        </w:numPr>
        <w:autoSpaceDN w:val="0"/>
        <w:spacing w:line="360" w:lineRule="auto"/>
        <w:jc w:val="both"/>
        <w:rPr>
          <w:rFonts w:ascii="Arial" w:eastAsia="Arial" w:hAnsi="Arial" w:cs="Arial"/>
        </w:rPr>
      </w:pPr>
      <w:r w:rsidRPr="00E85C8C">
        <w:rPr>
          <w:rFonts w:ascii="Arial" w:hAnsi="Arial" w:cs="Arial"/>
        </w:rPr>
        <w:t>Para efectos de lo señalado en el presente artículo, la Secretaría de Finanzas y Administración registrará como comprometidos, devengados, ejercidos y pagados estos recursos en los sistemas contables y presupuestales; Lo anterior, conforme a las Normas y Metodología para la Determinación de los Momentos Contables de Egresos, emitidas por el Consejo Nacional de Armonización Contable; y,</w:t>
      </w:r>
    </w:p>
    <w:p w14:paraId="1F66E440" w14:textId="77777777" w:rsidR="00AF664D" w:rsidRPr="00E85C8C" w:rsidRDefault="00AF664D" w:rsidP="00D60720">
      <w:pPr>
        <w:pStyle w:val="Prrafodelista"/>
        <w:spacing w:line="360" w:lineRule="auto"/>
        <w:rPr>
          <w:rFonts w:ascii="Arial" w:hAnsi="Arial" w:cs="Arial"/>
        </w:rPr>
      </w:pPr>
    </w:p>
    <w:p w14:paraId="494F40E5" w14:textId="77777777" w:rsidR="00AF664D" w:rsidRPr="00E85C8C" w:rsidRDefault="00AF664D" w:rsidP="00D60720">
      <w:pPr>
        <w:numPr>
          <w:ilvl w:val="0"/>
          <w:numId w:val="40"/>
        </w:numPr>
        <w:autoSpaceDN w:val="0"/>
        <w:spacing w:line="360" w:lineRule="auto"/>
        <w:jc w:val="both"/>
        <w:rPr>
          <w:rFonts w:ascii="Arial" w:eastAsia="Arial" w:hAnsi="Arial" w:cs="Arial"/>
        </w:rPr>
      </w:pPr>
      <w:r w:rsidRPr="00E85C8C">
        <w:rPr>
          <w:rFonts w:ascii="Arial" w:hAnsi="Arial" w:cs="Arial"/>
        </w:rPr>
        <w:t xml:space="preserve">Las ejecutoras del gasto una vez recibidos los recursos por parte de la Secretaría de Finanzas y Administración se responsabilizarán del debido cumplimiento del uso, ejercicio y destino de los mismos.  </w:t>
      </w:r>
    </w:p>
    <w:p w14:paraId="00795C46" w14:textId="77777777" w:rsidR="00AF664D" w:rsidRPr="00E85C8C" w:rsidRDefault="00AF664D" w:rsidP="00D60720">
      <w:pPr>
        <w:spacing w:line="360" w:lineRule="auto"/>
        <w:rPr>
          <w:rFonts w:ascii="Arial" w:hAnsi="Arial" w:cs="Arial"/>
        </w:rPr>
      </w:pPr>
    </w:p>
    <w:p w14:paraId="4AD59D0E" w14:textId="532BC61F" w:rsidR="00AF664D" w:rsidRPr="00E85C8C" w:rsidRDefault="00AF664D" w:rsidP="00D60720">
      <w:pPr>
        <w:spacing w:line="360" w:lineRule="auto"/>
        <w:jc w:val="both"/>
        <w:rPr>
          <w:rFonts w:ascii="Arial" w:eastAsia="Arial" w:hAnsi="Arial" w:cs="Arial"/>
        </w:rPr>
      </w:pPr>
      <w:r w:rsidRPr="00E85C8C">
        <w:rPr>
          <w:rFonts w:ascii="Arial" w:eastAsia="Arial" w:hAnsi="Arial" w:cs="Arial"/>
          <w:b/>
        </w:rPr>
        <w:t>Artículo 22</w:t>
      </w:r>
      <w:r w:rsidRPr="00E85C8C">
        <w:rPr>
          <w:rFonts w:ascii="Arial" w:eastAsia="Arial" w:hAnsi="Arial" w:cs="Arial"/>
        </w:rPr>
        <w:t>. Los entes que durante el ejercicio fiscal 202</w:t>
      </w:r>
      <w:r w:rsidR="00FF5D2E">
        <w:rPr>
          <w:rFonts w:ascii="Arial" w:eastAsia="Arial" w:hAnsi="Arial" w:cs="Arial"/>
        </w:rPr>
        <w:t>6</w:t>
      </w:r>
      <w:r w:rsidRPr="00E85C8C">
        <w:rPr>
          <w:rFonts w:ascii="Arial" w:eastAsia="Arial" w:hAnsi="Arial" w:cs="Arial"/>
        </w:rPr>
        <w:t xml:space="preserve"> reciban ingresos provenientes de fondos y convenios federales, se sujetarán a las disposiciones en materia de información, rendición de cuentas, transparencia y evaluación establecidas en los artículos 134 de la Constitución Política de los Estados Unidos Mexicanos; </w:t>
      </w:r>
      <w:r>
        <w:rPr>
          <w:rFonts w:ascii="Arial" w:eastAsia="Arial" w:hAnsi="Arial" w:cs="Arial"/>
        </w:rPr>
        <w:t>48 y 49</w:t>
      </w:r>
      <w:r w:rsidRPr="00E85C8C">
        <w:rPr>
          <w:rFonts w:ascii="Arial" w:eastAsia="Arial" w:hAnsi="Arial" w:cs="Arial"/>
        </w:rPr>
        <w:t xml:space="preserve"> fracción V, de la Ley de Coordinación Fiscal; 85 y 110 de la Ley Federal de Presupuesto y Responsabilidad Hacendaria, el Acuerdo Nacional para la Modernización de la Educación Básica y Normal y el Acuerdo Nacional para la Descentralización de los Servicios de Salud.</w:t>
      </w:r>
    </w:p>
    <w:p w14:paraId="7FF701B1" w14:textId="77777777" w:rsidR="00AF664D" w:rsidRPr="00E85C8C" w:rsidRDefault="00AF664D" w:rsidP="00D60720">
      <w:pPr>
        <w:spacing w:line="360" w:lineRule="auto"/>
        <w:jc w:val="both"/>
        <w:rPr>
          <w:rFonts w:ascii="Arial" w:hAnsi="Arial" w:cs="Arial"/>
        </w:rPr>
      </w:pPr>
    </w:p>
    <w:p w14:paraId="4208E647" w14:textId="6159958C" w:rsidR="00AF664D" w:rsidRPr="00E85C8C" w:rsidRDefault="00AF664D" w:rsidP="00D60720">
      <w:pPr>
        <w:spacing w:line="360" w:lineRule="auto"/>
        <w:jc w:val="both"/>
        <w:rPr>
          <w:rFonts w:ascii="Arial" w:hAnsi="Arial" w:cs="Arial"/>
        </w:rPr>
      </w:pPr>
      <w:r w:rsidRPr="00E85C8C">
        <w:rPr>
          <w:rFonts w:ascii="Arial" w:eastAsia="Arial" w:hAnsi="Arial" w:cs="Arial"/>
          <w:b/>
        </w:rPr>
        <w:t>Artículo 23.</w:t>
      </w:r>
      <w:r w:rsidRPr="00E85C8C">
        <w:rPr>
          <w:rFonts w:ascii="Arial" w:eastAsia="Arial" w:hAnsi="Arial" w:cs="Arial"/>
        </w:rPr>
        <w:t xml:space="preserve"> Los importes asignados a través de las transferencias federales por Convenio estarán sujetos a reducción o ampliación, según el monto que sea aprobado en el Decreto de Presupuesto de Egresos de la Federación para el Ejercicio Fiscal 202</w:t>
      </w:r>
      <w:r w:rsidR="00FF5D2E">
        <w:rPr>
          <w:rFonts w:ascii="Arial" w:eastAsia="Arial" w:hAnsi="Arial" w:cs="Arial"/>
        </w:rPr>
        <w:t>6</w:t>
      </w:r>
      <w:r w:rsidRPr="00E85C8C">
        <w:rPr>
          <w:rFonts w:ascii="Arial" w:eastAsia="Arial" w:hAnsi="Arial" w:cs="Arial"/>
        </w:rPr>
        <w:t xml:space="preserve"> y al importe que oficialmente se comunique o transfiera al Estado.</w:t>
      </w:r>
    </w:p>
    <w:p w14:paraId="6A76F8BF" w14:textId="77777777" w:rsidR="00AF664D" w:rsidRPr="00E85C8C" w:rsidRDefault="00AF664D" w:rsidP="00D60720">
      <w:pPr>
        <w:spacing w:line="360" w:lineRule="auto"/>
        <w:jc w:val="both"/>
        <w:rPr>
          <w:rFonts w:ascii="Arial" w:eastAsia="Arial" w:hAnsi="Arial" w:cs="Arial"/>
        </w:rPr>
      </w:pPr>
    </w:p>
    <w:p w14:paraId="7131B81C"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 xml:space="preserve">En el caso de los convenios de los Subsistemas Educativos Estatales con recursos federales etiquetados y presupuestados de origen, éstos serán sujetos de adecuaciones presupuestarias tanto en la aportación federal como en la concurrencia estatal de acuerdo con lo convenido en el referido convenio oficial. </w:t>
      </w:r>
    </w:p>
    <w:p w14:paraId="1B710CA0" w14:textId="77777777" w:rsidR="00AF664D" w:rsidRPr="00E85C8C" w:rsidRDefault="00AF664D" w:rsidP="00D60720">
      <w:pPr>
        <w:spacing w:line="360" w:lineRule="auto"/>
        <w:jc w:val="both"/>
        <w:rPr>
          <w:rFonts w:ascii="Arial" w:eastAsia="Arial" w:hAnsi="Arial" w:cs="Arial"/>
        </w:rPr>
      </w:pPr>
    </w:p>
    <w:p w14:paraId="5AFE12BE"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b/>
        </w:rPr>
        <w:t>Artículo 24.</w:t>
      </w:r>
      <w:r w:rsidRPr="00E85C8C">
        <w:rPr>
          <w:rFonts w:ascii="Arial" w:eastAsia="Arial" w:hAnsi="Arial" w:cs="Arial"/>
        </w:rPr>
        <w:t xml:space="preserve"> Los recursos de origen federal etiquetados para un fin específico que, durante la vigencia del presente Decreto, no hayan sido comprometidos y devengados en el ejercicio que fueron ministrados, deberán ser reintegrados a la Tesorería de la Federación, de conformidad con lo señalado en el artículo 17 de la Ley de Disciplina Financiera de las Entidades Federativas y los Municipios y demás disposiciones aplicables.</w:t>
      </w:r>
    </w:p>
    <w:p w14:paraId="6021DAD6" w14:textId="77777777" w:rsidR="00AF664D" w:rsidRPr="00E85C8C" w:rsidRDefault="00AF664D" w:rsidP="00D60720">
      <w:pPr>
        <w:spacing w:line="360" w:lineRule="auto"/>
        <w:jc w:val="both"/>
        <w:rPr>
          <w:rFonts w:ascii="Arial" w:eastAsia="Arial" w:hAnsi="Arial" w:cs="Arial"/>
        </w:rPr>
      </w:pPr>
    </w:p>
    <w:p w14:paraId="0DD53F74" w14:textId="77777777" w:rsidR="00AF664D" w:rsidRPr="00E85C8C" w:rsidRDefault="00AF664D" w:rsidP="00D60720">
      <w:pPr>
        <w:spacing w:line="360" w:lineRule="auto"/>
        <w:jc w:val="both"/>
        <w:rPr>
          <w:rFonts w:ascii="Arial" w:hAnsi="Arial" w:cs="Arial"/>
        </w:rPr>
      </w:pPr>
      <w:r w:rsidRPr="00E85C8C">
        <w:rPr>
          <w:rFonts w:ascii="Arial" w:hAnsi="Arial" w:cs="Arial"/>
        </w:rPr>
        <w:t>En caso de las reasignaciones de recursos de origen federal etiquetados, podrán ser reasignados para su ejercicio en apego a su normativa y reglas de operación, respetando el principio de anualidad y previa autorización de la Comisión Gasto Financiamiento.</w:t>
      </w:r>
    </w:p>
    <w:p w14:paraId="48EFF458" w14:textId="77777777" w:rsidR="00AF664D" w:rsidRPr="00E85C8C" w:rsidRDefault="00AF664D" w:rsidP="00D60720">
      <w:pPr>
        <w:spacing w:line="360" w:lineRule="auto"/>
        <w:jc w:val="both"/>
        <w:rPr>
          <w:rFonts w:ascii="Arial" w:eastAsia="Arial" w:hAnsi="Arial" w:cs="Arial"/>
        </w:rPr>
      </w:pPr>
    </w:p>
    <w:p w14:paraId="387DBE71"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IV</w:t>
      </w:r>
    </w:p>
    <w:p w14:paraId="4AFFD329"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 xml:space="preserve">DE LA DISCIPLINA PRESUPUESTARIA EN EL EJERCICIO </w:t>
      </w:r>
    </w:p>
    <w:p w14:paraId="5354AB21"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DEL GASTO PÚBLICO</w:t>
      </w:r>
    </w:p>
    <w:p w14:paraId="7235E5A8" w14:textId="77777777" w:rsidR="00AF664D" w:rsidRPr="00E85C8C" w:rsidRDefault="00AF664D" w:rsidP="00D60720">
      <w:pPr>
        <w:spacing w:line="360" w:lineRule="auto"/>
        <w:jc w:val="center"/>
        <w:rPr>
          <w:rFonts w:ascii="Arial" w:eastAsia="Arial" w:hAnsi="Arial" w:cs="Arial"/>
          <w:b/>
        </w:rPr>
      </w:pPr>
    </w:p>
    <w:p w14:paraId="18B8419D"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25</w:t>
      </w:r>
      <w:r w:rsidRPr="00E85C8C">
        <w:rPr>
          <w:rFonts w:ascii="Arial" w:eastAsia="Arial" w:hAnsi="Arial" w:cs="Arial"/>
        </w:rPr>
        <w:t>. El ejercicio del gasto público deberá sujetarse estrictamente a las disposiciones previstas en la materia, al principio de anualidad y las que emita la Secretaría de Finanzas y Administración y la Secretaría de la Contraloría. Tratándose de los Poderes Legislativo y Judicial, así como de los Organismos Autónomos las unidades administrativas competentes emitirán las disposiciones correspondientes.</w:t>
      </w:r>
    </w:p>
    <w:p w14:paraId="6FB9E6F2" w14:textId="77777777" w:rsidR="00AF664D" w:rsidRPr="00E85C8C" w:rsidRDefault="00AF664D" w:rsidP="00D60720">
      <w:pPr>
        <w:spacing w:line="360" w:lineRule="auto"/>
        <w:jc w:val="both"/>
        <w:rPr>
          <w:rFonts w:ascii="Arial" w:eastAsia="Arial" w:hAnsi="Arial" w:cs="Arial"/>
        </w:rPr>
      </w:pPr>
    </w:p>
    <w:p w14:paraId="49DDB39F" w14:textId="77777777" w:rsidR="00AF664D" w:rsidRDefault="00AF664D" w:rsidP="00D60720">
      <w:pPr>
        <w:spacing w:line="360" w:lineRule="auto"/>
        <w:jc w:val="both"/>
        <w:rPr>
          <w:rFonts w:ascii="Arial" w:eastAsia="Arial" w:hAnsi="Arial" w:cs="Arial"/>
        </w:rPr>
      </w:pPr>
      <w:r w:rsidRPr="00E85C8C">
        <w:rPr>
          <w:rFonts w:ascii="Arial" w:eastAsia="Arial" w:hAnsi="Arial" w:cs="Arial"/>
          <w:b/>
        </w:rPr>
        <w:t>Artículo 26</w:t>
      </w:r>
      <w:r w:rsidRPr="00E85C8C">
        <w:rPr>
          <w:rFonts w:ascii="Arial" w:eastAsia="Arial" w:hAnsi="Arial" w:cs="Arial"/>
        </w:rPr>
        <w:t xml:space="preserve">. Los entes sin exceder sus presupuestos autorizados cubrirán las contribuciones federales, estatales y municipales con cargo a sus presupuestos autorizados, de igual manera los compromisos u obligaciones que deriven de las determinaciones o las resoluciones emitidas por autoridad jurisdiccional competente. </w:t>
      </w:r>
    </w:p>
    <w:p w14:paraId="34342C87" w14:textId="77777777" w:rsidR="00D60720" w:rsidRPr="00E85C8C" w:rsidRDefault="00D60720" w:rsidP="00D60720">
      <w:pPr>
        <w:spacing w:line="360" w:lineRule="auto"/>
        <w:jc w:val="both"/>
        <w:rPr>
          <w:rFonts w:ascii="Arial" w:hAnsi="Arial" w:cs="Arial"/>
        </w:rPr>
      </w:pPr>
    </w:p>
    <w:p w14:paraId="5940AF34"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Para efectos de lo anterior, las ejecutoras del gasto deberán ajustar sus presupuestos para el cumplimiento de sus obligaciones, sin que ello implique ampliaciones a los mismos.</w:t>
      </w:r>
    </w:p>
    <w:p w14:paraId="218E52EE" w14:textId="77777777" w:rsidR="00AF664D" w:rsidRPr="00E85C8C" w:rsidRDefault="00AF664D" w:rsidP="00D60720">
      <w:pPr>
        <w:spacing w:line="360" w:lineRule="auto"/>
        <w:jc w:val="both"/>
        <w:rPr>
          <w:rFonts w:ascii="Arial" w:eastAsia="Arial" w:hAnsi="Arial" w:cs="Arial"/>
        </w:rPr>
      </w:pPr>
    </w:p>
    <w:p w14:paraId="6C1043A8" w14:textId="4B8F0754" w:rsidR="00AF664D" w:rsidRPr="00E85C8C" w:rsidRDefault="00AF664D" w:rsidP="00D60720">
      <w:pPr>
        <w:spacing w:line="360" w:lineRule="auto"/>
        <w:jc w:val="both"/>
        <w:rPr>
          <w:rFonts w:ascii="Arial" w:eastAsia="Arial" w:hAnsi="Arial" w:cs="Arial"/>
        </w:rPr>
      </w:pPr>
      <w:r w:rsidRPr="00E85C8C">
        <w:rPr>
          <w:rFonts w:ascii="Arial" w:eastAsia="Arial" w:hAnsi="Arial" w:cs="Arial"/>
        </w:rPr>
        <w:t>En el supuesto de que no exista suficiencia presupuestaria para el pago de las obligaciones a que se refiere el párrafo anterior, se deberá de programar el cumplimiento de dicha obligación para pagarse en el siguiente Ejercicio Fiscal</w:t>
      </w:r>
      <w:r w:rsidR="00FF5D2E">
        <w:rPr>
          <w:rFonts w:ascii="Arial" w:eastAsia="Arial" w:hAnsi="Arial" w:cs="Arial"/>
        </w:rPr>
        <w:t xml:space="preserve"> como ADEFAS</w:t>
      </w:r>
      <w:r w:rsidRPr="00E85C8C">
        <w:rPr>
          <w:rFonts w:ascii="Arial" w:eastAsia="Arial" w:hAnsi="Arial" w:cs="Arial"/>
        </w:rPr>
        <w:t>.</w:t>
      </w:r>
    </w:p>
    <w:p w14:paraId="47008402" w14:textId="77777777" w:rsidR="00AF664D" w:rsidRPr="00E85C8C" w:rsidRDefault="00AF664D" w:rsidP="00D60720">
      <w:pPr>
        <w:spacing w:line="360" w:lineRule="auto"/>
        <w:jc w:val="both"/>
        <w:rPr>
          <w:rFonts w:ascii="Arial" w:eastAsia="Arial" w:hAnsi="Arial" w:cs="Arial"/>
        </w:rPr>
      </w:pPr>
    </w:p>
    <w:p w14:paraId="79D523DA" w14:textId="77777777" w:rsidR="00AF664D" w:rsidRPr="00E85C8C" w:rsidRDefault="00AF664D" w:rsidP="00D60720">
      <w:pPr>
        <w:tabs>
          <w:tab w:val="left" w:pos="993"/>
        </w:tabs>
        <w:spacing w:line="360" w:lineRule="auto"/>
        <w:jc w:val="both"/>
        <w:rPr>
          <w:rFonts w:ascii="Arial" w:eastAsia="Arial" w:hAnsi="Arial" w:cs="Arial"/>
        </w:rPr>
      </w:pPr>
      <w:r w:rsidRPr="00E85C8C">
        <w:rPr>
          <w:rFonts w:ascii="Arial" w:eastAsia="Arial" w:hAnsi="Arial" w:cs="Arial"/>
        </w:rPr>
        <w:t>Los Organismos Públicos Descentralizados deberán atender a las obligaciones contraídas por estos con su propio patrimonio y hasta donde alcance el mismo.</w:t>
      </w:r>
    </w:p>
    <w:p w14:paraId="00CD6E51" w14:textId="77777777" w:rsidR="00AF664D" w:rsidRPr="00E85C8C" w:rsidRDefault="00AF664D" w:rsidP="00D60720">
      <w:pPr>
        <w:tabs>
          <w:tab w:val="left" w:pos="993"/>
        </w:tabs>
        <w:spacing w:line="360" w:lineRule="auto"/>
        <w:jc w:val="both"/>
        <w:rPr>
          <w:rFonts w:ascii="Arial" w:eastAsia="Arial" w:hAnsi="Arial" w:cs="Arial"/>
        </w:rPr>
      </w:pPr>
    </w:p>
    <w:p w14:paraId="640DC050"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27</w:t>
      </w:r>
      <w:r w:rsidRPr="00E85C8C">
        <w:rPr>
          <w:rFonts w:ascii="Arial" w:eastAsia="Arial" w:hAnsi="Arial" w:cs="Arial"/>
        </w:rPr>
        <w:t>. La Secretaría de Finanzas y Administración, analizando los objetivos y la situación de las finanzas públicas, podrá autorizar compensaciones presupuestarias entre Dependencias y Entidades de acuerdo con los mecanismos establecidos para ello, derivadas de las variaciones respecto de la estimación de ingresos del Estado.</w:t>
      </w:r>
    </w:p>
    <w:p w14:paraId="7E97A150" w14:textId="77777777" w:rsidR="00AF664D" w:rsidRPr="00E85C8C" w:rsidRDefault="00AF664D" w:rsidP="00D60720">
      <w:pPr>
        <w:spacing w:line="360" w:lineRule="auto"/>
        <w:jc w:val="both"/>
        <w:rPr>
          <w:rFonts w:ascii="Arial" w:eastAsia="Arial" w:hAnsi="Arial" w:cs="Arial"/>
        </w:rPr>
      </w:pPr>
    </w:p>
    <w:p w14:paraId="1A148715" w14:textId="77777777" w:rsidR="00AF664D" w:rsidRPr="00E85C8C" w:rsidRDefault="00AF664D" w:rsidP="00D60720">
      <w:pPr>
        <w:spacing w:line="360" w:lineRule="auto"/>
        <w:jc w:val="both"/>
        <w:rPr>
          <w:rFonts w:ascii="Arial" w:eastAsia="Calibri" w:hAnsi="Arial" w:cs="Arial"/>
        </w:rPr>
      </w:pPr>
      <w:r w:rsidRPr="00E85C8C">
        <w:rPr>
          <w:rFonts w:ascii="Arial" w:eastAsia="Calibri" w:hAnsi="Arial" w:cs="Arial"/>
        </w:rPr>
        <w:t xml:space="preserve">Asimismo, podrá hacer las adecuaciones presupuestarias necesarias en aquellas fuentes de financiamiento correspondientes a recursos de libre disposición con la finalidad de mantener los balances presupuestarios y de flujo financiero. </w:t>
      </w:r>
    </w:p>
    <w:p w14:paraId="208EDE6A" w14:textId="77777777" w:rsidR="00AF664D" w:rsidRPr="00E85C8C" w:rsidRDefault="00AF664D" w:rsidP="00D60720">
      <w:pPr>
        <w:spacing w:line="360" w:lineRule="auto"/>
        <w:jc w:val="both"/>
        <w:rPr>
          <w:rFonts w:ascii="Arial" w:eastAsia="Arial" w:hAnsi="Arial" w:cs="Arial"/>
        </w:rPr>
      </w:pPr>
    </w:p>
    <w:p w14:paraId="23F73B50"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b/>
        </w:rPr>
        <w:t>Artículo 28.</w:t>
      </w:r>
      <w:r w:rsidRPr="00E85C8C">
        <w:rPr>
          <w:rFonts w:ascii="Arial" w:eastAsia="Arial" w:hAnsi="Arial" w:cs="Arial"/>
        </w:rPr>
        <w:t xml:space="preserve"> En el caso de los recursos por ingresos excedentes, diferentes a los radicados para un destino específico, estos serán aplicados conforme a lo dispuesto en la Ley de Disciplina Financiera de las Entidades Federativas y los Municipios y demás disposiciones en la materia.</w:t>
      </w:r>
    </w:p>
    <w:p w14:paraId="5EAB2562" w14:textId="77777777" w:rsidR="00AF664D" w:rsidRPr="00E85C8C" w:rsidRDefault="00AF664D" w:rsidP="00D60720">
      <w:pPr>
        <w:spacing w:line="360" w:lineRule="auto"/>
        <w:jc w:val="both"/>
        <w:rPr>
          <w:rFonts w:ascii="Arial" w:eastAsia="Arial" w:hAnsi="Arial" w:cs="Arial"/>
        </w:rPr>
      </w:pPr>
    </w:p>
    <w:p w14:paraId="66C5F8B7" w14:textId="77777777" w:rsidR="00AF664D" w:rsidRPr="00E85C8C" w:rsidRDefault="00AF664D" w:rsidP="00D60720">
      <w:pPr>
        <w:spacing w:line="360" w:lineRule="auto"/>
        <w:rPr>
          <w:rFonts w:ascii="Arial" w:hAnsi="Arial" w:cs="Arial"/>
        </w:rPr>
      </w:pPr>
      <w:bookmarkStart w:id="1" w:name="_Hlk150786141"/>
      <w:r w:rsidRPr="00E85C8C">
        <w:rPr>
          <w:rFonts w:ascii="Arial" w:hAnsi="Arial" w:cs="Arial"/>
          <w:b/>
          <w:bCs/>
        </w:rPr>
        <w:t>Artículo 29.</w:t>
      </w:r>
      <w:r w:rsidRPr="00E85C8C">
        <w:rPr>
          <w:rFonts w:ascii="Arial" w:hAnsi="Arial" w:cs="Arial"/>
        </w:rPr>
        <w:t xml:space="preserve"> La Secretaría de Finanzas y Administración podrá reducir, suspender o terminar las transferencias, asignaciones, subsidios y otras ayudas cuando:</w:t>
      </w:r>
    </w:p>
    <w:p w14:paraId="53E375B2" w14:textId="77777777" w:rsidR="00AF664D" w:rsidRPr="00E85C8C" w:rsidRDefault="00AF664D" w:rsidP="00D60720">
      <w:pPr>
        <w:spacing w:line="360" w:lineRule="auto"/>
        <w:jc w:val="both"/>
        <w:rPr>
          <w:rFonts w:ascii="Arial" w:hAnsi="Arial" w:cs="Arial"/>
        </w:rPr>
      </w:pPr>
    </w:p>
    <w:p w14:paraId="5827191C" w14:textId="77777777" w:rsidR="00AF664D" w:rsidRPr="00E85C8C" w:rsidRDefault="00AF664D" w:rsidP="00D60720">
      <w:pPr>
        <w:spacing w:line="360" w:lineRule="auto"/>
        <w:jc w:val="both"/>
        <w:rPr>
          <w:rFonts w:ascii="Arial" w:hAnsi="Arial" w:cs="Arial"/>
        </w:rPr>
      </w:pPr>
      <w:r w:rsidRPr="00E85C8C">
        <w:rPr>
          <w:rFonts w:ascii="Arial" w:hAnsi="Arial" w:cs="Arial"/>
        </w:rPr>
        <w:t>I.</w:t>
      </w:r>
      <w:r w:rsidRPr="00E85C8C">
        <w:rPr>
          <w:rFonts w:ascii="Arial" w:hAnsi="Arial" w:cs="Arial"/>
        </w:rPr>
        <w:tab/>
        <w:t>Las Entidades a las que se les otorguen cuenten con autosuficiencia financiera;</w:t>
      </w:r>
    </w:p>
    <w:p w14:paraId="6EFB3324" w14:textId="77777777" w:rsidR="00AF664D" w:rsidRPr="00E85C8C" w:rsidRDefault="00AF664D" w:rsidP="00D60720">
      <w:pPr>
        <w:spacing w:line="360" w:lineRule="auto"/>
        <w:jc w:val="both"/>
        <w:rPr>
          <w:rFonts w:ascii="Arial" w:hAnsi="Arial" w:cs="Arial"/>
        </w:rPr>
      </w:pPr>
    </w:p>
    <w:p w14:paraId="35E5E277" w14:textId="77777777" w:rsidR="00AF664D" w:rsidRPr="00E85C8C" w:rsidRDefault="00AF664D" w:rsidP="00D60720">
      <w:pPr>
        <w:spacing w:line="360" w:lineRule="auto"/>
        <w:jc w:val="both"/>
        <w:rPr>
          <w:rFonts w:ascii="Arial" w:hAnsi="Arial" w:cs="Arial"/>
        </w:rPr>
      </w:pPr>
      <w:r w:rsidRPr="00E85C8C">
        <w:rPr>
          <w:rFonts w:ascii="Arial" w:hAnsi="Arial" w:cs="Arial"/>
        </w:rPr>
        <w:t>II.</w:t>
      </w:r>
      <w:r w:rsidRPr="00E85C8C">
        <w:rPr>
          <w:rFonts w:ascii="Arial" w:hAnsi="Arial" w:cs="Arial"/>
        </w:rPr>
        <w:tab/>
        <w:t>Las transferencias ya no cumplan con el objetivo de su otorgamiento;</w:t>
      </w:r>
    </w:p>
    <w:p w14:paraId="4F2DC8C5" w14:textId="77777777" w:rsidR="00AF664D" w:rsidRPr="00E85C8C" w:rsidRDefault="00AF664D" w:rsidP="00D60720">
      <w:pPr>
        <w:spacing w:line="360" w:lineRule="auto"/>
        <w:jc w:val="both"/>
        <w:rPr>
          <w:rFonts w:ascii="Arial" w:hAnsi="Arial" w:cs="Arial"/>
        </w:rPr>
      </w:pPr>
    </w:p>
    <w:p w14:paraId="2A7C09BB" w14:textId="77777777" w:rsidR="00AF664D" w:rsidRPr="00E85C8C" w:rsidRDefault="00AF664D" w:rsidP="00D60720">
      <w:pPr>
        <w:spacing w:line="360" w:lineRule="auto"/>
        <w:jc w:val="both"/>
        <w:rPr>
          <w:rFonts w:ascii="Arial" w:hAnsi="Arial" w:cs="Arial"/>
        </w:rPr>
      </w:pPr>
      <w:r w:rsidRPr="00E85C8C">
        <w:rPr>
          <w:rFonts w:ascii="Arial" w:hAnsi="Arial" w:cs="Arial"/>
        </w:rPr>
        <w:t>III.</w:t>
      </w:r>
      <w:r w:rsidRPr="00E85C8C">
        <w:rPr>
          <w:rFonts w:ascii="Arial" w:hAnsi="Arial" w:cs="Arial"/>
        </w:rPr>
        <w:tab/>
        <w:t>Las Entidades no remitan la información referente a la aplicación de dichas transferencias;</w:t>
      </w:r>
    </w:p>
    <w:p w14:paraId="738E0E71" w14:textId="77777777" w:rsidR="00AF664D" w:rsidRPr="00E85C8C" w:rsidRDefault="00AF664D" w:rsidP="00D60720">
      <w:pPr>
        <w:spacing w:line="360" w:lineRule="auto"/>
        <w:jc w:val="both"/>
        <w:rPr>
          <w:rFonts w:ascii="Arial" w:hAnsi="Arial" w:cs="Arial"/>
        </w:rPr>
      </w:pPr>
    </w:p>
    <w:p w14:paraId="2BCCF824" w14:textId="77777777" w:rsidR="00AF664D" w:rsidRPr="00E85C8C" w:rsidRDefault="00AF664D" w:rsidP="00D60720">
      <w:pPr>
        <w:spacing w:line="360" w:lineRule="auto"/>
        <w:jc w:val="both"/>
        <w:rPr>
          <w:rFonts w:ascii="Arial" w:hAnsi="Arial" w:cs="Arial"/>
        </w:rPr>
      </w:pPr>
      <w:r w:rsidRPr="00E85C8C">
        <w:rPr>
          <w:rFonts w:ascii="Arial" w:hAnsi="Arial" w:cs="Arial"/>
        </w:rPr>
        <w:t>IV.</w:t>
      </w:r>
      <w:r w:rsidRPr="00E85C8C">
        <w:rPr>
          <w:rFonts w:ascii="Arial" w:hAnsi="Arial" w:cs="Arial"/>
        </w:rPr>
        <w:tab/>
        <w:t>No existan las condiciones presupuestales para seguir otorgándolas; y,</w:t>
      </w:r>
    </w:p>
    <w:p w14:paraId="715856EA" w14:textId="77777777" w:rsidR="00AF664D" w:rsidRPr="00E85C8C" w:rsidRDefault="00AF664D" w:rsidP="00D60720">
      <w:pPr>
        <w:spacing w:line="360" w:lineRule="auto"/>
        <w:jc w:val="both"/>
        <w:rPr>
          <w:rFonts w:ascii="Arial" w:hAnsi="Arial" w:cs="Arial"/>
        </w:rPr>
      </w:pPr>
    </w:p>
    <w:p w14:paraId="650B470A" w14:textId="0CFC5037" w:rsidR="00AF664D" w:rsidRPr="00E85C8C" w:rsidRDefault="00AF664D" w:rsidP="00D60720">
      <w:pPr>
        <w:spacing w:line="360" w:lineRule="auto"/>
        <w:jc w:val="both"/>
        <w:rPr>
          <w:rFonts w:ascii="Arial" w:eastAsia="Arial" w:hAnsi="Arial" w:cs="Arial"/>
          <w:bCs/>
          <w:shd w:val="clear" w:color="auto" w:fill="FFFF00"/>
        </w:rPr>
      </w:pPr>
      <w:r w:rsidRPr="00E85C8C">
        <w:rPr>
          <w:rFonts w:ascii="Arial" w:hAnsi="Arial" w:cs="Arial"/>
        </w:rPr>
        <w:t>V.</w:t>
      </w:r>
      <w:r w:rsidRPr="00E85C8C">
        <w:rPr>
          <w:rFonts w:ascii="Arial" w:hAnsi="Arial" w:cs="Arial"/>
        </w:rPr>
        <w:tab/>
        <w:t>No se cuente con la capacidad de recursos financieros</w:t>
      </w:r>
      <w:r w:rsidR="00FF5D2E">
        <w:rPr>
          <w:rFonts w:ascii="Arial" w:hAnsi="Arial" w:cs="Arial"/>
        </w:rPr>
        <w:t xml:space="preserve"> y presupuestales</w:t>
      </w:r>
      <w:r w:rsidRPr="00E85C8C">
        <w:rPr>
          <w:rFonts w:ascii="Arial" w:hAnsi="Arial" w:cs="Arial"/>
        </w:rPr>
        <w:t>.</w:t>
      </w:r>
      <w:bookmarkEnd w:id="1"/>
    </w:p>
    <w:p w14:paraId="7CB14A88" w14:textId="77777777" w:rsidR="00AF664D" w:rsidRPr="00E85C8C" w:rsidRDefault="00AF664D" w:rsidP="00D60720">
      <w:pPr>
        <w:spacing w:line="360" w:lineRule="auto"/>
        <w:jc w:val="both"/>
        <w:rPr>
          <w:rFonts w:ascii="Arial" w:eastAsia="Arial" w:hAnsi="Arial" w:cs="Arial"/>
          <w:bCs/>
          <w:shd w:val="clear" w:color="auto" w:fill="FFFF00"/>
        </w:rPr>
      </w:pPr>
    </w:p>
    <w:p w14:paraId="388545EF"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30</w:t>
      </w:r>
      <w:r w:rsidRPr="00E85C8C">
        <w:rPr>
          <w:rFonts w:ascii="Arial" w:eastAsia="Arial" w:hAnsi="Arial" w:cs="Arial"/>
        </w:rPr>
        <w:t>. Las ejecu</w:t>
      </w:r>
      <w:r>
        <w:rPr>
          <w:rFonts w:ascii="Arial" w:eastAsia="Arial" w:hAnsi="Arial" w:cs="Arial"/>
        </w:rPr>
        <w:t>toras del gasto deberán vigilar</w:t>
      </w:r>
      <w:r w:rsidRPr="00E85C8C">
        <w:rPr>
          <w:rFonts w:ascii="Arial" w:eastAsia="Arial" w:hAnsi="Arial" w:cs="Arial"/>
        </w:rPr>
        <w:t xml:space="preserve"> que todas las operaciones que involucren compromisos financieros con recursos públicos estatales, solo se podrán erogar si se encuentran autorizadas en el presupuesto respectivo.</w:t>
      </w:r>
    </w:p>
    <w:p w14:paraId="6BD8A57B" w14:textId="77777777" w:rsidR="00AF664D" w:rsidRPr="00E85C8C" w:rsidRDefault="00AF664D" w:rsidP="00D60720">
      <w:pPr>
        <w:spacing w:line="360" w:lineRule="auto"/>
        <w:rPr>
          <w:rFonts w:ascii="Arial" w:eastAsia="Arial" w:hAnsi="Arial" w:cs="Arial"/>
        </w:rPr>
      </w:pPr>
    </w:p>
    <w:p w14:paraId="715160B5" w14:textId="77777777" w:rsidR="00AF664D" w:rsidRDefault="00AF664D" w:rsidP="00D60720">
      <w:pPr>
        <w:spacing w:line="360" w:lineRule="auto"/>
        <w:jc w:val="both"/>
        <w:rPr>
          <w:rFonts w:ascii="Arial" w:eastAsia="Arial" w:hAnsi="Arial" w:cs="Arial"/>
        </w:rPr>
      </w:pPr>
      <w:r w:rsidRPr="00E85C8C">
        <w:rPr>
          <w:rFonts w:ascii="Arial" w:eastAsia="Arial" w:hAnsi="Arial" w:cs="Arial"/>
          <w:b/>
        </w:rPr>
        <w:t>Artículo 31</w:t>
      </w:r>
      <w:r w:rsidRPr="00E85C8C">
        <w:rPr>
          <w:rFonts w:ascii="Arial" w:eastAsia="Arial" w:hAnsi="Arial" w:cs="Arial"/>
        </w:rPr>
        <w:t>. Los Titulares de las UPP’S a los que se autorice la asignación de transferencias, asignaciones, subsidios y otras ayudas con cargo al Presupuesto, serán responsables de su correcta aplicación conforme a lo establecido en este Decreto y las demás disposiciones aplicables.</w:t>
      </w:r>
    </w:p>
    <w:p w14:paraId="0E83486B" w14:textId="77777777" w:rsidR="00FB20D2" w:rsidRDefault="00FB20D2" w:rsidP="00D60720">
      <w:pPr>
        <w:spacing w:line="360" w:lineRule="auto"/>
        <w:jc w:val="both"/>
        <w:rPr>
          <w:rFonts w:ascii="Arial" w:eastAsia="Arial" w:hAnsi="Arial" w:cs="Arial"/>
        </w:rPr>
      </w:pPr>
    </w:p>
    <w:p w14:paraId="5D72E917" w14:textId="67F4B96E" w:rsidR="00FB20D2" w:rsidRPr="00263058" w:rsidRDefault="00FB20D2" w:rsidP="00D60720">
      <w:pPr>
        <w:spacing w:line="360" w:lineRule="auto"/>
        <w:jc w:val="both"/>
        <w:rPr>
          <w:rFonts w:ascii="Arial" w:hAnsi="Arial" w:cs="Arial"/>
        </w:rPr>
      </w:pPr>
      <w:r w:rsidRPr="00263058">
        <w:rPr>
          <w:rFonts w:ascii="Arial" w:hAnsi="Arial" w:cs="Arial"/>
        </w:rPr>
        <w:t>Cuando las UPP’S reciban ampliaciones a su presupuesto autorizado, éstas deberán destinarse exclusivamente para los fines y objetivos específicos que motivaron su otorgamiento, conforme al acuerdo o disposición que las autorice.</w:t>
      </w:r>
    </w:p>
    <w:p w14:paraId="3848C33B" w14:textId="77777777" w:rsidR="00FB20D2" w:rsidRPr="00263058" w:rsidRDefault="00FB20D2" w:rsidP="00D60720">
      <w:pPr>
        <w:spacing w:line="360" w:lineRule="auto"/>
        <w:jc w:val="both"/>
        <w:rPr>
          <w:rFonts w:ascii="Arial" w:hAnsi="Arial" w:cs="Arial"/>
        </w:rPr>
      </w:pPr>
    </w:p>
    <w:p w14:paraId="423AD5AB" w14:textId="55CCCE33" w:rsidR="00FB20D2" w:rsidRPr="00E85C8C" w:rsidRDefault="00FB20D2" w:rsidP="00D60720">
      <w:pPr>
        <w:spacing w:line="360" w:lineRule="auto"/>
        <w:jc w:val="both"/>
        <w:rPr>
          <w:rFonts w:ascii="Arial" w:hAnsi="Arial" w:cs="Arial"/>
        </w:rPr>
      </w:pPr>
      <w:r w:rsidRPr="00263058">
        <w:rPr>
          <w:rFonts w:ascii="Arial" w:hAnsi="Arial" w:cs="Arial"/>
        </w:rPr>
        <w:t xml:space="preserve">En ningún caso las ampliaciones presupuestales, aun tratándose de recursos de libre disposición, podrán ser aplicadas a conceptos o capítulos de gasto distintos a los autorizados originalmente, ni podrán ser utilizadas para cubrir compromisos ajenos al fin para el cual fueron otorgadas. </w:t>
      </w:r>
    </w:p>
    <w:p w14:paraId="59F7F7DD" w14:textId="77777777" w:rsidR="00AF664D" w:rsidRPr="00E85C8C" w:rsidRDefault="00AF664D" w:rsidP="00D60720">
      <w:pPr>
        <w:spacing w:line="360" w:lineRule="auto"/>
        <w:rPr>
          <w:rFonts w:ascii="Arial" w:eastAsia="Arial" w:hAnsi="Arial" w:cs="Arial"/>
        </w:rPr>
      </w:pPr>
    </w:p>
    <w:p w14:paraId="18ECB9B8" w14:textId="2DAC8A07" w:rsidR="00AF664D" w:rsidRPr="00E85C8C" w:rsidRDefault="00AF664D" w:rsidP="00D60720">
      <w:pPr>
        <w:spacing w:line="360" w:lineRule="auto"/>
        <w:jc w:val="both"/>
        <w:rPr>
          <w:rFonts w:ascii="Arial" w:hAnsi="Arial" w:cs="Arial"/>
        </w:rPr>
      </w:pPr>
      <w:r w:rsidRPr="00E85C8C">
        <w:rPr>
          <w:rFonts w:ascii="Arial" w:eastAsia="Arial" w:hAnsi="Arial" w:cs="Arial"/>
          <w:b/>
        </w:rPr>
        <w:t xml:space="preserve">Artículo 32. </w:t>
      </w:r>
      <w:r w:rsidRPr="00E85C8C">
        <w:rPr>
          <w:rFonts w:ascii="Arial" w:eastAsia="Arial" w:hAnsi="Arial" w:cs="Arial"/>
        </w:rPr>
        <w:t xml:space="preserve">Cuando la Secretaría de Finanzas y Administración disponga durante el ejercicio fiscal de recursos económicos excedentes derivados del superávit presupuestal de los ingresos recaudados respecto de los ingresos estimados, estos se aplicarán de </w:t>
      </w:r>
      <w:r w:rsidRPr="00263058">
        <w:rPr>
          <w:rFonts w:ascii="Arial" w:eastAsia="Arial" w:hAnsi="Arial" w:cs="Arial"/>
        </w:rPr>
        <w:t>conformidad con la</w:t>
      </w:r>
      <w:r w:rsidR="002D592F" w:rsidRPr="00263058">
        <w:rPr>
          <w:rFonts w:ascii="Arial" w:eastAsia="Arial" w:hAnsi="Arial" w:cs="Arial"/>
        </w:rPr>
        <w:t xml:space="preserve"> normatividad vigente en materia de disciplina financiera.</w:t>
      </w:r>
    </w:p>
    <w:p w14:paraId="4C9D98EA" w14:textId="77777777" w:rsidR="00AF664D" w:rsidRPr="00E85C8C" w:rsidRDefault="00AF664D" w:rsidP="00D60720">
      <w:pPr>
        <w:spacing w:line="360" w:lineRule="auto"/>
        <w:jc w:val="both"/>
        <w:rPr>
          <w:rFonts w:ascii="Arial" w:eastAsia="Arial" w:hAnsi="Arial" w:cs="Arial"/>
        </w:rPr>
      </w:pPr>
    </w:p>
    <w:p w14:paraId="55003760"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Tratándose de recursos excedentes de origen federal, el destino en que habrán de emplearse será el previsto en la legislación federal aplicable y dichos excedentes se considerarán ampliación presupuestal automática.</w:t>
      </w:r>
    </w:p>
    <w:p w14:paraId="04594D13" w14:textId="77777777" w:rsidR="00AF664D" w:rsidRPr="00E85C8C" w:rsidRDefault="00AF664D" w:rsidP="00D60720">
      <w:pPr>
        <w:spacing w:line="360" w:lineRule="auto"/>
        <w:jc w:val="both"/>
        <w:rPr>
          <w:rFonts w:ascii="Arial" w:eastAsia="Arial" w:hAnsi="Arial" w:cs="Arial"/>
        </w:rPr>
      </w:pPr>
    </w:p>
    <w:p w14:paraId="70EE744B"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b/>
        </w:rPr>
        <w:t>Artículo 33</w:t>
      </w:r>
      <w:r w:rsidRPr="00E85C8C">
        <w:rPr>
          <w:rFonts w:ascii="Arial" w:eastAsia="Arial" w:hAnsi="Arial" w:cs="Arial"/>
        </w:rPr>
        <w:t>. En el ejercicio del Presupuesto de Egresos, las UPP’S se sujetarán a la calendarización de sus recursos, la Secretaría de Finanzas y Administración analizará y determinará las medidas de contención para que el ejercicio del gasto sea congruente con los flujos de ingresos. Asimismo, éstos proporcionarán a dicha Secretaría, la información presupuestal y financiera que se les requiera, de conformidad con las disposiciones en vigor.</w:t>
      </w:r>
    </w:p>
    <w:p w14:paraId="06F04966" w14:textId="77777777" w:rsidR="00AF664D" w:rsidRPr="00E85C8C" w:rsidRDefault="00AF664D" w:rsidP="00D60720">
      <w:pPr>
        <w:spacing w:line="360" w:lineRule="auto"/>
        <w:jc w:val="both"/>
        <w:rPr>
          <w:rFonts w:ascii="Arial" w:eastAsia="Arial" w:hAnsi="Arial" w:cs="Arial"/>
        </w:rPr>
      </w:pPr>
    </w:p>
    <w:p w14:paraId="4B3C941D"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34</w:t>
      </w:r>
      <w:r w:rsidRPr="00E85C8C">
        <w:rPr>
          <w:rFonts w:ascii="Arial" w:eastAsia="Arial" w:hAnsi="Arial" w:cs="Arial"/>
        </w:rPr>
        <w:t>. En caso de que durante el ejercicio fiscal exista un déficit en el ingreso recaudado de recursos no etiquetados previsto</w:t>
      </w:r>
      <w:r>
        <w:rPr>
          <w:rFonts w:ascii="Arial" w:eastAsia="Arial" w:hAnsi="Arial" w:cs="Arial"/>
        </w:rPr>
        <w:t>s</w:t>
      </w:r>
      <w:r w:rsidRPr="00E85C8C">
        <w:rPr>
          <w:rFonts w:ascii="Arial" w:eastAsia="Arial" w:hAnsi="Arial" w:cs="Arial"/>
        </w:rPr>
        <w:t xml:space="preserve"> en la Ley de Ingresos, el Titular del Poder Ejecutivo, por conducto de la Secretaría de Finanzas y Administración, podrá aplicar la siguiente norma de disciplina presupuestaria:</w:t>
      </w:r>
    </w:p>
    <w:p w14:paraId="6E0AF001" w14:textId="77777777" w:rsidR="00AF664D" w:rsidRPr="00E85C8C" w:rsidRDefault="00AF664D" w:rsidP="00D60720">
      <w:pPr>
        <w:spacing w:line="360" w:lineRule="auto"/>
        <w:jc w:val="both"/>
        <w:rPr>
          <w:rFonts w:ascii="Arial" w:hAnsi="Arial" w:cs="Arial"/>
        </w:rPr>
      </w:pPr>
    </w:p>
    <w:p w14:paraId="34A63D8A" w14:textId="77777777" w:rsidR="00AF664D" w:rsidRPr="00E85C8C" w:rsidRDefault="00AF664D" w:rsidP="00D60720">
      <w:pPr>
        <w:spacing w:line="360" w:lineRule="auto"/>
        <w:jc w:val="both"/>
        <w:rPr>
          <w:rFonts w:ascii="Arial" w:hAnsi="Arial" w:cs="Arial"/>
        </w:rPr>
      </w:pPr>
      <w:r w:rsidRPr="00E85C8C">
        <w:rPr>
          <w:rFonts w:ascii="Arial" w:hAnsi="Arial" w:cs="Arial"/>
        </w:rPr>
        <w:t>I. En caso de que no pueda realizarse una compensación presupuestaria entre dependencias y entidades para mantener la relación de ingresos y gastos aprobados o ésta resulte insuficiente, se procederá a la reducción de los montos aprobados en el Presupuesto de Egresos destinados a las unidades programáticas presupuestarias, conforme el orden siguiente:</w:t>
      </w:r>
    </w:p>
    <w:p w14:paraId="6893B59E" w14:textId="77777777" w:rsidR="00AF664D" w:rsidRPr="00E85C8C" w:rsidRDefault="00AF664D" w:rsidP="00D60720">
      <w:pPr>
        <w:spacing w:line="360" w:lineRule="auto"/>
        <w:jc w:val="both"/>
        <w:rPr>
          <w:rFonts w:ascii="Arial" w:eastAsia="Arial" w:hAnsi="Arial" w:cs="Arial"/>
        </w:rPr>
      </w:pPr>
    </w:p>
    <w:p w14:paraId="05AB4A1D" w14:textId="77777777" w:rsidR="00AF664D" w:rsidRPr="00E85C8C" w:rsidRDefault="00AF664D" w:rsidP="00D60720">
      <w:pPr>
        <w:pStyle w:val="Prrafodelista"/>
        <w:numPr>
          <w:ilvl w:val="0"/>
          <w:numId w:val="41"/>
        </w:numPr>
        <w:suppressAutoHyphens/>
        <w:autoSpaceDN w:val="0"/>
        <w:spacing w:line="360" w:lineRule="auto"/>
        <w:contextualSpacing w:val="0"/>
        <w:jc w:val="both"/>
        <w:rPr>
          <w:rFonts w:ascii="Arial" w:eastAsia="Arial" w:hAnsi="Arial" w:cs="Arial"/>
        </w:rPr>
      </w:pPr>
      <w:r w:rsidRPr="00E85C8C">
        <w:rPr>
          <w:rFonts w:ascii="Arial" w:eastAsia="Arial" w:hAnsi="Arial" w:cs="Arial"/>
        </w:rPr>
        <w:t>Los gastos de comunicación social;</w:t>
      </w:r>
    </w:p>
    <w:p w14:paraId="1746FA9A" w14:textId="77777777" w:rsidR="00AF664D" w:rsidRPr="00E85C8C" w:rsidRDefault="00AF664D" w:rsidP="00D60720">
      <w:pPr>
        <w:pStyle w:val="Prrafodelista"/>
        <w:numPr>
          <w:ilvl w:val="0"/>
          <w:numId w:val="41"/>
        </w:numPr>
        <w:suppressAutoHyphens/>
        <w:autoSpaceDN w:val="0"/>
        <w:spacing w:line="360" w:lineRule="auto"/>
        <w:contextualSpacing w:val="0"/>
        <w:jc w:val="both"/>
        <w:rPr>
          <w:rFonts w:ascii="Arial" w:eastAsia="Arial" w:hAnsi="Arial" w:cs="Arial"/>
        </w:rPr>
      </w:pPr>
      <w:r w:rsidRPr="00E85C8C">
        <w:rPr>
          <w:rFonts w:ascii="Arial" w:eastAsia="Arial" w:hAnsi="Arial" w:cs="Arial"/>
        </w:rPr>
        <w:t>El gasto corriente no vinculado directamente a la atención de la población;</w:t>
      </w:r>
    </w:p>
    <w:p w14:paraId="1908A50A" w14:textId="77777777" w:rsidR="00AF664D" w:rsidRPr="00E85C8C" w:rsidRDefault="00AF664D" w:rsidP="00D60720">
      <w:pPr>
        <w:pStyle w:val="Prrafodelista"/>
        <w:numPr>
          <w:ilvl w:val="0"/>
          <w:numId w:val="41"/>
        </w:numPr>
        <w:suppressAutoHyphens/>
        <w:autoSpaceDN w:val="0"/>
        <w:spacing w:line="360" w:lineRule="auto"/>
        <w:contextualSpacing w:val="0"/>
        <w:jc w:val="both"/>
        <w:rPr>
          <w:rFonts w:ascii="Arial" w:eastAsia="Arial" w:hAnsi="Arial" w:cs="Arial"/>
        </w:rPr>
      </w:pPr>
      <w:r w:rsidRPr="00E85C8C">
        <w:rPr>
          <w:rFonts w:ascii="Arial" w:eastAsia="Arial" w:hAnsi="Arial" w:cs="Arial"/>
        </w:rPr>
        <w:t>El gasto en servicios personales, prioritariamente las erogaciones por concepto de percepciones extraordinarias diferentes al salario; y,</w:t>
      </w:r>
    </w:p>
    <w:p w14:paraId="7BB021DB" w14:textId="77777777" w:rsidR="00AF664D" w:rsidRPr="00E85C8C" w:rsidRDefault="00AF664D" w:rsidP="00D60720">
      <w:pPr>
        <w:pStyle w:val="Prrafodelista"/>
        <w:numPr>
          <w:ilvl w:val="0"/>
          <w:numId w:val="41"/>
        </w:numPr>
        <w:suppressAutoHyphens/>
        <w:autoSpaceDN w:val="0"/>
        <w:spacing w:line="360" w:lineRule="auto"/>
        <w:contextualSpacing w:val="0"/>
        <w:jc w:val="both"/>
        <w:rPr>
          <w:rFonts w:ascii="Arial" w:eastAsia="Arial" w:hAnsi="Arial" w:cs="Arial"/>
        </w:rPr>
      </w:pPr>
      <w:r w:rsidRPr="00E85C8C">
        <w:rPr>
          <w:rFonts w:ascii="Arial" w:eastAsia="Arial" w:hAnsi="Arial" w:cs="Arial"/>
        </w:rPr>
        <w:t>Los ahorros y economías presupuestarias que se determinen con base en los calendarios de presupuesto autorizados a las Dependencias y Entidades.</w:t>
      </w:r>
    </w:p>
    <w:p w14:paraId="2F0FDBBA" w14:textId="77777777" w:rsidR="00AF664D" w:rsidRPr="00E85C8C" w:rsidRDefault="00AF664D" w:rsidP="00D60720">
      <w:pPr>
        <w:spacing w:line="360" w:lineRule="auto"/>
        <w:jc w:val="both"/>
        <w:rPr>
          <w:rFonts w:ascii="Arial" w:eastAsia="Arial" w:hAnsi="Arial" w:cs="Arial"/>
        </w:rPr>
      </w:pPr>
    </w:p>
    <w:p w14:paraId="0E6D2A24"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II.</w:t>
      </w:r>
      <w:r w:rsidRPr="00E85C8C">
        <w:rPr>
          <w:rFonts w:ascii="Arial" w:eastAsia="Arial" w:hAnsi="Arial" w:cs="Arial"/>
        </w:rPr>
        <w:tab/>
        <w:t>En caso de que los ajustes anteriores no sean factibles o suficientes para compensar la disminución del ingreso recaudado, podrán realizarse ajustes en otros conceptos de gasto, incluidas las transferencias, asignaciones, subsidios y otras ayudas asignadas a los Poderes Legislativo y Judicial y Organismos Autónomos, siempre y cuando se procure no afectar los programas sociales.</w:t>
      </w:r>
    </w:p>
    <w:p w14:paraId="0CF66A11" w14:textId="77777777" w:rsidR="00AF664D" w:rsidRPr="00E85C8C" w:rsidRDefault="00AF664D" w:rsidP="00D60720">
      <w:pPr>
        <w:spacing w:line="360" w:lineRule="auto"/>
        <w:jc w:val="both"/>
        <w:rPr>
          <w:rFonts w:ascii="Arial" w:eastAsia="Arial" w:hAnsi="Arial" w:cs="Arial"/>
        </w:rPr>
      </w:pPr>
    </w:p>
    <w:p w14:paraId="644FD07C"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Para el caso, de los Poderes Legislativo y Judicial y Organismos Autónomos</w:t>
      </w:r>
      <w:r>
        <w:rPr>
          <w:rFonts w:ascii="Arial" w:eastAsia="Arial" w:hAnsi="Arial" w:cs="Arial"/>
        </w:rPr>
        <w:t>,</w:t>
      </w:r>
      <w:r w:rsidRPr="00E85C8C">
        <w:rPr>
          <w:rFonts w:ascii="Arial" w:eastAsia="Arial" w:hAnsi="Arial" w:cs="Arial"/>
        </w:rPr>
        <w:t xml:space="preserve"> estos deberán remitir a la Secretaría de Finanzas y Administración su propuesta de reducción.</w:t>
      </w:r>
    </w:p>
    <w:p w14:paraId="64FE1BBB" w14:textId="77777777" w:rsidR="00AF664D" w:rsidRDefault="00AF664D" w:rsidP="00D60720">
      <w:pPr>
        <w:spacing w:line="360" w:lineRule="auto"/>
        <w:jc w:val="both"/>
        <w:rPr>
          <w:rFonts w:ascii="Arial" w:eastAsia="Arial" w:hAnsi="Arial" w:cs="Arial"/>
          <w:b/>
        </w:rPr>
      </w:pPr>
    </w:p>
    <w:p w14:paraId="63EFC8E2" w14:textId="77777777" w:rsidR="00D60720" w:rsidRDefault="00D60720" w:rsidP="00D60720">
      <w:pPr>
        <w:spacing w:line="360" w:lineRule="auto"/>
        <w:jc w:val="both"/>
        <w:rPr>
          <w:rFonts w:ascii="Arial" w:eastAsia="Arial" w:hAnsi="Arial" w:cs="Arial"/>
          <w:b/>
        </w:rPr>
      </w:pPr>
    </w:p>
    <w:p w14:paraId="00FA6DCE" w14:textId="77777777" w:rsidR="00D60720" w:rsidRPr="00E85C8C" w:rsidRDefault="00D60720" w:rsidP="00D60720">
      <w:pPr>
        <w:spacing w:line="360" w:lineRule="auto"/>
        <w:jc w:val="both"/>
        <w:rPr>
          <w:rFonts w:ascii="Arial" w:eastAsia="Arial" w:hAnsi="Arial" w:cs="Arial"/>
          <w:b/>
        </w:rPr>
      </w:pPr>
    </w:p>
    <w:p w14:paraId="037ACA5A"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TÍTULO SEGUNDO</w:t>
      </w:r>
    </w:p>
    <w:p w14:paraId="18B18403"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LINEAMIENTOS GENERALES</w:t>
      </w:r>
    </w:p>
    <w:p w14:paraId="6D222C19" w14:textId="77777777" w:rsidR="00AF664D" w:rsidRPr="00E85C8C" w:rsidRDefault="00AF664D" w:rsidP="00D60720">
      <w:pPr>
        <w:spacing w:line="360" w:lineRule="auto"/>
        <w:jc w:val="center"/>
        <w:rPr>
          <w:rFonts w:ascii="Arial" w:eastAsia="Arial" w:hAnsi="Arial" w:cs="Arial"/>
          <w:b/>
        </w:rPr>
      </w:pPr>
    </w:p>
    <w:p w14:paraId="5302A016"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w:t>
      </w:r>
    </w:p>
    <w:p w14:paraId="26C44023"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DEL EJERCICIO Y CONTROL DEL PRESUPUESTO</w:t>
      </w:r>
    </w:p>
    <w:p w14:paraId="51DD57E1" w14:textId="77777777" w:rsidR="00AF664D" w:rsidRPr="00E85C8C" w:rsidRDefault="00AF664D" w:rsidP="00D60720">
      <w:pPr>
        <w:spacing w:line="360" w:lineRule="auto"/>
        <w:jc w:val="center"/>
        <w:rPr>
          <w:rFonts w:ascii="Arial" w:eastAsia="Arial" w:hAnsi="Arial" w:cs="Arial"/>
          <w:b/>
        </w:rPr>
      </w:pPr>
    </w:p>
    <w:p w14:paraId="3381326C"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35.</w:t>
      </w:r>
      <w:r w:rsidRPr="00E85C8C">
        <w:rPr>
          <w:rFonts w:ascii="Arial" w:eastAsia="Arial" w:hAnsi="Arial" w:cs="Arial"/>
        </w:rPr>
        <w:t xml:space="preserve"> Las ejecutoras del gasto sólo podrán efectuar aportaciones de recursos públicos estatales si se encuentran autorizados en su presupuesto y hasta por el monto autorizado, podrán gestionar nuevos convenios ante las instancias federales, municipales y los sectores social o privado, siempre y cuando cuenten con la autorización previa y expresa de la Secretaría de Finanzas y Administración, en apego a lo dispuesto por el artículo 3° del presente Decreto.</w:t>
      </w:r>
    </w:p>
    <w:p w14:paraId="7E783159" w14:textId="77777777" w:rsidR="00AF664D" w:rsidRPr="00E85C8C" w:rsidRDefault="00AF664D" w:rsidP="00D60720">
      <w:pPr>
        <w:spacing w:line="360" w:lineRule="auto"/>
        <w:jc w:val="both"/>
        <w:rPr>
          <w:rFonts w:ascii="Arial" w:eastAsia="Arial" w:hAnsi="Arial" w:cs="Arial"/>
        </w:rPr>
      </w:pPr>
    </w:p>
    <w:p w14:paraId="640A148C"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36.</w:t>
      </w:r>
      <w:r w:rsidRPr="00E85C8C">
        <w:rPr>
          <w:rFonts w:ascii="Arial" w:eastAsia="Arial" w:hAnsi="Arial" w:cs="Arial"/>
        </w:rPr>
        <w:t xml:space="preserve"> La Secretaría de Finanzas y Administración podrá realizar las adecuaciones presupuestarias necesarias que estén destinadas tanto a la atención de situaciones de emergencia o contingencia; como aquellas que deriven de una eventualidad o desastre natural que pongan en riesgo la seguridad de las personas y su patrimonio, o que alteren imprevisiblemente las actividades gubernamentales de los ejecutores del gasto.</w:t>
      </w:r>
    </w:p>
    <w:p w14:paraId="71C32A61" w14:textId="77777777" w:rsidR="00AF664D" w:rsidRPr="00E85C8C" w:rsidRDefault="00AF664D" w:rsidP="00D60720">
      <w:pPr>
        <w:spacing w:line="360" w:lineRule="auto"/>
        <w:jc w:val="both"/>
        <w:rPr>
          <w:rFonts w:ascii="Arial" w:eastAsia="Arial" w:hAnsi="Arial" w:cs="Arial"/>
        </w:rPr>
      </w:pPr>
    </w:p>
    <w:p w14:paraId="673DBE2D"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37.</w:t>
      </w:r>
      <w:r w:rsidRPr="00E85C8C">
        <w:rPr>
          <w:rFonts w:ascii="Arial" w:eastAsia="Arial" w:hAnsi="Arial" w:cs="Arial"/>
        </w:rPr>
        <w:t xml:space="preserve"> Además de las disposiciones a que se refieren los artículos anteriores, se estará sujeto a lo siguiente:</w:t>
      </w:r>
    </w:p>
    <w:p w14:paraId="46B5B6C3" w14:textId="77777777" w:rsidR="00AF664D" w:rsidRPr="00E85C8C" w:rsidRDefault="00AF664D" w:rsidP="00D60720">
      <w:pPr>
        <w:spacing w:line="360" w:lineRule="auto"/>
        <w:jc w:val="both"/>
        <w:rPr>
          <w:rFonts w:ascii="Arial" w:eastAsia="Arial" w:hAnsi="Arial" w:cs="Arial"/>
        </w:rPr>
      </w:pPr>
    </w:p>
    <w:p w14:paraId="44313EB1" w14:textId="77777777" w:rsidR="00AF664D" w:rsidRPr="00E85C8C" w:rsidRDefault="00AF664D" w:rsidP="00D60720">
      <w:pPr>
        <w:numPr>
          <w:ilvl w:val="0"/>
          <w:numId w:val="42"/>
        </w:numPr>
        <w:autoSpaceDN w:val="0"/>
        <w:spacing w:line="360" w:lineRule="auto"/>
        <w:ind w:hanging="436"/>
        <w:jc w:val="both"/>
        <w:rPr>
          <w:rFonts w:ascii="Arial" w:eastAsia="Arial" w:hAnsi="Arial" w:cs="Arial"/>
        </w:rPr>
      </w:pPr>
      <w:r w:rsidRPr="00E85C8C">
        <w:rPr>
          <w:rFonts w:ascii="Arial" w:eastAsia="Arial" w:hAnsi="Arial" w:cs="Arial"/>
        </w:rPr>
        <w:t>Las UPP’S, deberán ejercer su presupuesto bajo los Elementos de la Estructura Programática;</w:t>
      </w:r>
    </w:p>
    <w:p w14:paraId="303EDCB3" w14:textId="77777777" w:rsidR="00AF664D" w:rsidRPr="00E85C8C" w:rsidRDefault="00AF664D" w:rsidP="00D60720">
      <w:pPr>
        <w:autoSpaceDN w:val="0"/>
        <w:spacing w:line="360" w:lineRule="auto"/>
        <w:ind w:left="720"/>
        <w:jc w:val="both"/>
        <w:rPr>
          <w:rFonts w:ascii="Arial" w:eastAsia="Arial" w:hAnsi="Arial" w:cs="Arial"/>
        </w:rPr>
      </w:pPr>
    </w:p>
    <w:p w14:paraId="76A5950B" w14:textId="77777777" w:rsidR="00AF664D" w:rsidRDefault="00AF664D" w:rsidP="00D60720">
      <w:pPr>
        <w:numPr>
          <w:ilvl w:val="0"/>
          <w:numId w:val="42"/>
        </w:numPr>
        <w:autoSpaceDN w:val="0"/>
        <w:spacing w:line="360" w:lineRule="auto"/>
        <w:ind w:hanging="436"/>
        <w:jc w:val="both"/>
        <w:rPr>
          <w:rFonts w:ascii="Arial" w:eastAsia="Arial" w:hAnsi="Arial" w:cs="Arial"/>
        </w:rPr>
      </w:pPr>
      <w:r w:rsidRPr="00E85C8C">
        <w:rPr>
          <w:rFonts w:ascii="Arial" w:eastAsia="Arial" w:hAnsi="Arial" w:cs="Arial"/>
        </w:rPr>
        <w:t xml:space="preserve">Las UPP’S, estarán sujetas a las siguientes disposiciones: </w:t>
      </w:r>
    </w:p>
    <w:p w14:paraId="4953B4EA" w14:textId="77777777" w:rsidR="00AF664D" w:rsidRPr="00E85C8C" w:rsidRDefault="00AF664D" w:rsidP="00D60720">
      <w:pPr>
        <w:autoSpaceDN w:val="0"/>
        <w:spacing w:line="360" w:lineRule="auto"/>
        <w:ind w:left="720"/>
        <w:jc w:val="both"/>
        <w:rPr>
          <w:rFonts w:ascii="Arial" w:eastAsia="Arial" w:hAnsi="Arial" w:cs="Arial"/>
        </w:rPr>
      </w:pPr>
    </w:p>
    <w:p w14:paraId="2B5060D5" w14:textId="77777777" w:rsidR="00AF664D" w:rsidRPr="00E85C8C" w:rsidRDefault="00AF664D" w:rsidP="00D60720">
      <w:pPr>
        <w:numPr>
          <w:ilvl w:val="0"/>
          <w:numId w:val="43"/>
        </w:numPr>
        <w:autoSpaceDN w:val="0"/>
        <w:spacing w:line="360" w:lineRule="auto"/>
        <w:jc w:val="both"/>
        <w:rPr>
          <w:rFonts w:ascii="Arial" w:eastAsia="Arial" w:hAnsi="Arial" w:cs="Arial"/>
        </w:rPr>
      </w:pPr>
      <w:r w:rsidRPr="00E85C8C">
        <w:rPr>
          <w:rFonts w:ascii="Arial" w:eastAsia="Arial" w:hAnsi="Arial" w:cs="Arial"/>
        </w:rPr>
        <w:t>Concluida la vigencia del ejercicio del Presupuesto de Egresos, sólo procederá hacer pagos con cargo a éste, por conceptos efectivamente devengados y contabilizados al 31 de diciembre del ejercicio que corresponda;</w:t>
      </w:r>
    </w:p>
    <w:p w14:paraId="459F8D77" w14:textId="77777777" w:rsidR="00AF664D" w:rsidRPr="00E85C8C" w:rsidRDefault="00AF664D" w:rsidP="00D60720">
      <w:pPr>
        <w:spacing w:line="360" w:lineRule="auto"/>
        <w:ind w:left="1418" w:hanging="567"/>
        <w:jc w:val="both"/>
        <w:rPr>
          <w:rFonts w:ascii="Arial" w:eastAsia="Arial" w:hAnsi="Arial" w:cs="Arial"/>
        </w:rPr>
      </w:pPr>
    </w:p>
    <w:p w14:paraId="1502F004" w14:textId="77777777" w:rsidR="00AF664D" w:rsidRPr="00E85C8C" w:rsidRDefault="00AF664D" w:rsidP="00D60720">
      <w:pPr>
        <w:numPr>
          <w:ilvl w:val="0"/>
          <w:numId w:val="43"/>
        </w:numPr>
        <w:autoSpaceDN w:val="0"/>
        <w:spacing w:line="360" w:lineRule="auto"/>
        <w:jc w:val="both"/>
        <w:rPr>
          <w:rFonts w:ascii="Arial" w:hAnsi="Arial" w:cs="Arial"/>
        </w:rPr>
      </w:pPr>
      <w:r w:rsidRPr="00E85C8C">
        <w:rPr>
          <w:rFonts w:ascii="Arial" w:eastAsia="Arial" w:hAnsi="Arial" w:cs="Arial"/>
        </w:rPr>
        <w:t>Los compromisos adquiridos con recursos de libre disposición, que no hayan sido comprometidos y devengados al 31 de diciembre del ejercicio fiscal correspondiente, y que por tanto no hayan quedado registrados en la Cuenta Pública de la Hacienda Estatal respectiva, deberán programarse y cubrirse con cargo al presupuesto que para tal efecto se les asigne para el ejercicio bajo el concepto de ADEFAS, y los mecanismos que para ello establezca la Secretaría de Finanzas y Administración;</w:t>
      </w:r>
    </w:p>
    <w:p w14:paraId="2CBE7E81" w14:textId="77777777" w:rsidR="00AF664D" w:rsidRPr="00E85C8C" w:rsidRDefault="00AF664D" w:rsidP="00D60720">
      <w:pPr>
        <w:spacing w:line="360" w:lineRule="auto"/>
        <w:ind w:left="1418" w:hanging="567"/>
        <w:jc w:val="both"/>
        <w:rPr>
          <w:rFonts w:ascii="Arial" w:eastAsia="Arial" w:hAnsi="Arial" w:cs="Arial"/>
        </w:rPr>
      </w:pPr>
    </w:p>
    <w:p w14:paraId="2307E56B" w14:textId="77777777" w:rsidR="00AF664D" w:rsidRPr="00E85C8C" w:rsidRDefault="00AF664D" w:rsidP="00D60720">
      <w:pPr>
        <w:numPr>
          <w:ilvl w:val="0"/>
          <w:numId w:val="43"/>
        </w:numPr>
        <w:autoSpaceDN w:val="0"/>
        <w:spacing w:line="360" w:lineRule="auto"/>
        <w:jc w:val="both"/>
        <w:rPr>
          <w:rFonts w:ascii="Arial" w:eastAsia="Arial" w:hAnsi="Arial" w:cs="Arial"/>
        </w:rPr>
      </w:pPr>
      <w:r w:rsidRPr="00E85C8C">
        <w:rPr>
          <w:rFonts w:ascii="Arial" w:eastAsia="Arial" w:hAnsi="Arial" w:cs="Arial"/>
        </w:rPr>
        <w:t>Cuando habiendo recibido recursos financieros para su operación, trátese de recursos presupuestales, independientemente de que se destinen al gasto corriente o de inversión, y que éstos no hayan sido devengados al 31 de diciembre del Ejercicio Fiscal correspondiente; dichos recursos deberán reintegrarse a la Secretaría de Finanzas y Administración dentro de los primeros cinco días hábiles del mes de enero siguiente; y,</w:t>
      </w:r>
    </w:p>
    <w:p w14:paraId="00F90973" w14:textId="77777777" w:rsidR="00AF664D" w:rsidRPr="00E85C8C" w:rsidRDefault="00AF664D" w:rsidP="00D60720">
      <w:pPr>
        <w:spacing w:line="360" w:lineRule="auto"/>
        <w:ind w:left="1418" w:hanging="567"/>
        <w:jc w:val="both"/>
        <w:rPr>
          <w:rFonts w:ascii="Arial" w:eastAsia="Arial" w:hAnsi="Arial" w:cs="Arial"/>
        </w:rPr>
      </w:pPr>
    </w:p>
    <w:p w14:paraId="6CEC3081" w14:textId="77777777" w:rsidR="00AF664D" w:rsidRPr="00E85C8C" w:rsidRDefault="00AF664D" w:rsidP="00D60720">
      <w:pPr>
        <w:numPr>
          <w:ilvl w:val="0"/>
          <w:numId w:val="43"/>
        </w:numPr>
        <w:autoSpaceDN w:val="0"/>
        <w:spacing w:line="360" w:lineRule="auto"/>
        <w:jc w:val="both"/>
        <w:rPr>
          <w:rFonts w:ascii="Arial" w:eastAsia="Arial" w:hAnsi="Arial" w:cs="Arial"/>
        </w:rPr>
      </w:pPr>
      <w:r w:rsidRPr="00E85C8C">
        <w:rPr>
          <w:rFonts w:ascii="Arial" w:eastAsia="Arial" w:hAnsi="Arial" w:cs="Arial"/>
        </w:rPr>
        <w:t>Todo remanente presupuestal de recursos de libre disposición, que se concentre en la Secretaría de Finanzas y Administración, una vez precisado su monto, se reasignará o destinará al saneamiento de las finanzas públicas, o bien, cuando tenga un fin específico y no se sujete al principio de anualidad podrá ser refrendado en el siguiente ejercicio fiscal.</w:t>
      </w:r>
    </w:p>
    <w:p w14:paraId="3C0DB9C1" w14:textId="77777777" w:rsidR="00AF664D" w:rsidRPr="00E85C8C" w:rsidRDefault="00AF664D" w:rsidP="00D60720">
      <w:pPr>
        <w:spacing w:line="360" w:lineRule="auto"/>
        <w:jc w:val="both"/>
        <w:rPr>
          <w:rFonts w:ascii="Arial" w:eastAsia="Arial" w:hAnsi="Arial" w:cs="Arial"/>
        </w:rPr>
      </w:pPr>
    </w:p>
    <w:p w14:paraId="759BEDE9" w14:textId="77777777" w:rsidR="00AF664D" w:rsidRPr="00E85C8C" w:rsidRDefault="00AF664D" w:rsidP="00D60720">
      <w:pPr>
        <w:numPr>
          <w:ilvl w:val="0"/>
          <w:numId w:val="42"/>
        </w:numPr>
        <w:autoSpaceDN w:val="0"/>
        <w:spacing w:line="360" w:lineRule="auto"/>
        <w:jc w:val="both"/>
        <w:rPr>
          <w:rFonts w:ascii="Arial" w:eastAsia="Arial" w:hAnsi="Arial" w:cs="Arial"/>
        </w:rPr>
      </w:pPr>
      <w:r w:rsidRPr="00E85C8C">
        <w:rPr>
          <w:rFonts w:ascii="Arial" w:eastAsia="Arial" w:hAnsi="Arial" w:cs="Arial"/>
        </w:rPr>
        <w:t>Los entes, presentarán los Documentos de Ejecución Presupuestaria y Pago en el Sistema Electrónico para la debida ministración de recursos, en los tiempos y requerimientos que les señale la Secretaría de Finanzas y Administración y en apego a la disposición jurídica que regule al fondo; y,</w:t>
      </w:r>
    </w:p>
    <w:p w14:paraId="7A030AD0" w14:textId="77777777" w:rsidR="00AF664D" w:rsidRPr="00E85C8C" w:rsidRDefault="00AF664D" w:rsidP="00D60720">
      <w:pPr>
        <w:spacing w:line="360" w:lineRule="auto"/>
        <w:ind w:left="1560" w:hanging="425"/>
        <w:jc w:val="both"/>
        <w:rPr>
          <w:rFonts w:ascii="Arial" w:eastAsia="Arial" w:hAnsi="Arial" w:cs="Arial"/>
        </w:rPr>
      </w:pPr>
    </w:p>
    <w:p w14:paraId="61C2C17A" w14:textId="77777777" w:rsidR="00AF664D" w:rsidRPr="00E85C8C" w:rsidRDefault="00AF664D" w:rsidP="00D60720">
      <w:pPr>
        <w:numPr>
          <w:ilvl w:val="0"/>
          <w:numId w:val="42"/>
        </w:numPr>
        <w:autoSpaceDN w:val="0"/>
        <w:spacing w:line="360" w:lineRule="auto"/>
        <w:jc w:val="both"/>
        <w:rPr>
          <w:rFonts w:ascii="Arial" w:eastAsia="Arial" w:hAnsi="Arial" w:cs="Arial"/>
        </w:rPr>
      </w:pPr>
      <w:r w:rsidRPr="00E85C8C">
        <w:rPr>
          <w:rFonts w:ascii="Arial" w:eastAsia="Arial" w:hAnsi="Arial" w:cs="Arial"/>
        </w:rPr>
        <w:t>Las UPP’S, podrán celebrar contratos multianuales de adquisiciones, arrendamientos y servicios, siempre que, mediante evaluación escrita, se acredite que estos actos jurídicos, representan mejores términos y condiciones respecto a la celebración de dichos contratos por un solo ejercicio fiscal, en el entendido de que el pago de los compromisos de los años subsecuentes quedará sujeto a la disponibilidad presupuestaria que les autorice el Congreso del Estado de Michoacán de Ocampo.</w:t>
      </w:r>
    </w:p>
    <w:p w14:paraId="07853F2A" w14:textId="77777777" w:rsidR="00AF664D" w:rsidRPr="00E85C8C" w:rsidRDefault="00AF664D" w:rsidP="00D60720">
      <w:pPr>
        <w:autoSpaceDN w:val="0"/>
        <w:spacing w:line="360" w:lineRule="auto"/>
        <w:jc w:val="both"/>
        <w:rPr>
          <w:rFonts w:ascii="Arial" w:eastAsia="Arial" w:hAnsi="Arial" w:cs="Arial"/>
        </w:rPr>
      </w:pPr>
    </w:p>
    <w:p w14:paraId="1DD4D992"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II</w:t>
      </w:r>
    </w:p>
    <w:p w14:paraId="09AB6912"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 LOS SERVICIOS PERSONALES</w:t>
      </w:r>
    </w:p>
    <w:p w14:paraId="0FEA7F67" w14:textId="77777777" w:rsidR="00AF664D" w:rsidRPr="00E85C8C" w:rsidRDefault="00AF664D" w:rsidP="00D60720">
      <w:pPr>
        <w:spacing w:line="360" w:lineRule="auto"/>
        <w:jc w:val="center"/>
        <w:rPr>
          <w:rFonts w:ascii="Arial" w:eastAsia="Arial" w:hAnsi="Arial" w:cs="Arial"/>
          <w:b/>
        </w:rPr>
      </w:pPr>
    </w:p>
    <w:p w14:paraId="32265E2C"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38.</w:t>
      </w:r>
      <w:r w:rsidRPr="00E85C8C">
        <w:rPr>
          <w:rFonts w:ascii="Arial" w:eastAsia="Arial" w:hAnsi="Arial" w:cs="Arial"/>
        </w:rPr>
        <w:t xml:space="preserve"> Las UPP’S se abstendrán de efectuar propuestas de reestructuración administrativa que impliquen erogaciones adicionales de recursos, sin que por ello demerite su productividad y eficiencia, debiendo operar con los organigramas autorizados por la Comisión de Gasto-Financiamiento.</w:t>
      </w:r>
    </w:p>
    <w:p w14:paraId="04F789F7" w14:textId="77777777" w:rsidR="00AF664D" w:rsidRPr="00E85C8C" w:rsidRDefault="00AF664D" w:rsidP="00D60720">
      <w:pPr>
        <w:spacing w:line="360" w:lineRule="auto"/>
        <w:jc w:val="both"/>
        <w:rPr>
          <w:rFonts w:ascii="Arial" w:eastAsia="Arial" w:hAnsi="Arial" w:cs="Arial"/>
        </w:rPr>
      </w:pPr>
    </w:p>
    <w:p w14:paraId="27748340"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39.</w:t>
      </w:r>
      <w:r w:rsidRPr="00E85C8C">
        <w:rPr>
          <w:rFonts w:ascii="Arial" w:eastAsia="Arial" w:hAnsi="Arial" w:cs="Arial"/>
        </w:rPr>
        <w:t xml:space="preserve"> El pago de compensaciones y horas extraordinarias deberá estar plenamente regulado, fundamentado y autorizado por el Titular de la UPP del Poder Ejecutivo. Solo se permitirá dicho pago cuando cumpla con estas condiciones.</w:t>
      </w:r>
    </w:p>
    <w:p w14:paraId="3BDC02C5" w14:textId="77777777" w:rsidR="00AF664D" w:rsidRPr="00E85C8C" w:rsidRDefault="00AF664D" w:rsidP="00D60720">
      <w:pPr>
        <w:spacing w:line="360" w:lineRule="auto"/>
        <w:jc w:val="both"/>
        <w:rPr>
          <w:rFonts w:ascii="Arial" w:eastAsia="Arial" w:hAnsi="Arial" w:cs="Arial"/>
        </w:rPr>
      </w:pPr>
    </w:p>
    <w:p w14:paraId="02631537"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40.</w:t>
      </w:r>
      <w:r w:rsidRPr="00E85C8C">
        <w:rPr>
          <w:rFonts w:ascii="Arial" w:eastAsia="Arial" w:hAnsi="Arial" w:cs="Arial"/>
        </w:rPr>
        <w:t xml:space="preserve"> Las modificaciones a las estructuras de las Dependencias o Entidades del Sector Educativo creadas mediante acuerdo o convenio con la Federación se sujetarán a las disposiciones normativas contenidas en dichos instrumentos, así como a las que emita la autoridad educativa federal competente y a la suficiencia de recursos presupuestales del Estado.</w:t>
      </w:r>
    </w:p>
    <w:p w14:paraId="2E3183B2" w14:textId="77777777" w:rsidR="00AF664D" w:rsidRPr="00E85C8C" w:rsidRDefault="00AF664D" w:rsidP="00D60720">
      <w:pPr>
        <w:spacing w:line="360" w:lineRule="auto"/>
        <w:jc w:val="both"/>
        <w:rPr>
          <w:rFonts w:ascii="Arial" w:eastAsia="Arial" w:hAnsi="Arial" w:cs="Arial"/>
        </w:rPr>
      </w:pPr>
    </w:p>
    <w:p w14:paraId="3C961DA8"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41.</w:t>
      </w:r>
      <w:r w:rsidRPr="00E85C8C">
        <w:rPr>
          <w:rFonts w:ascii="Arial" w:eastAsia="Arial" w:hAnsi="Arial" w:cs="Arial"/>
        </w:rPr>
        <w:t xml:space="preserve"> Las UPP’S del Poder Ejecutivo del Estado, en el ejercicio de sus presupuestos por concepto de servicios personales, deberán observar lo siguiente:</w:t>
      </w:r>
    </w:p>
    <w:p w14:paraId="65FC8647" w14:textId="77777777" w:rsidR="00AF664D" w:rsidRPr="00E85C8C" w:rsidRDefault="00AF664D" w:rsidP="00D60720">
      <w:pPr>
        <w:spacing w:line="360" w:lineRule="auto"/>
        <w:jc w:val="both"/>
        <w:rPr>
          <w:rFonts w:ascii="Arial" w:eastAsia="Arial" w:hAnsi="Arial" w:cs="Arial"/>
        </w:rPr>
      </w:pPr>
    </w:p>
    <w:p w14:paraId="23B8403D" w14:textId="77777777" w:rsidR="00AF664D" w:rsidRPr="00E85C8C" w:rsidRDefault="00AF664D" w:rsidP="00D60720">
      <w:pPr>
        <w:numPr>
          <w:ilvl w:val="0"/>
          <w:numId w:val="44"/>
        </w:numPr>
        <w:autoSpaceDN w:val="0"/>
        <w:spacing w:line="360" w:lineRule="auto"/>
        <w:ind w:hanging="720"/>
        <w:jc w:val="both"/>
        <w:rPr>
          <w:rFonts w:ascii="Arial" w:eastAsia="Arial" w:hAnsi="Arial" w:cs="Arial"/>
        </w:rPr>
      </w:pPr>
      <w:r w:rsidRPr="00E85C8C">
        <w:rPr>
          <w:rFonts w:ascii="Arial" w:eastAsia="Arial" w:hAnsi="Arial" w:cs="Arial"/>
        </w:rPr>
        <w:t>Los sueldos y prestaciones de los servidores de mando medio y superior de las Entidades incluyendo los del sector educativo se homologarán a los que se otorgan en la Administración Pública Estatal Centralizada;</w:t>
      </w:r>
    </w:p>
    <w:p w14:paraId="6E8533F5" w14:textId="77777777" w:rsidR="00AF664D" w:rsidRPr="00E85C8C" w:rsidRDefault="00AF664D" w:rsidP="00D60720">
      <w:pPr>
        <w:spacing w:line="360" w:lineRule="auto"/>
        <w:jc w:val="both"/>
        <w:rPr>
          <w:rFonts w:ascii="Arial" w:eastAsia="Arial" w:hAnsi="Arial" w:cs="Arial"/>
        </w:rPr>
      </w:pPr>
    </w:p>
    <w:p w14:paraId="07272901" w14:textId="77777777" w:rsidR="00AF664D" w:rsidRPr="00E85C8C" w:rsidRDefault="00AF664D" w:rsidP="00D60720">
      <w:pPr>
        <w:numPr>
          <w:ilvl w:val="0"/>
          <w:numId w:val="44"/>
        </w:numPr>
        <w:autoSpaceDN w:val="0"/>
        <w:spacing w:line="360" w:lineRule="auto"/>
        <w:ind w:hanging="720"/>
        <w:jc w:val="both"/>
        <w:rPr>
          <w:rFonts w:ascii="Arial" w:eastAsia="Arial" w:hAnsi="Arial" w:cs="Arial"/>
        </w:rPr>
      </w:pPr>
      <w:r w:rsidRPr="00E85C8C">
        <w:rPr>
          <w:rFonts w:ascii="Arial" w:eastAsia="Arial" w:hAnsi="Arial" w:cs="Arial"/>
        </w:rPr>
        <w:t>Aplicar estrictamente los tabuladores de sueldo aprobados, evitando adicionar otras prestaciones o conceptos para conformar las remuneraciones de los servidores públicos;</w:t>
      </w:r>
    </w:p>
    <w:p w14:paraId="045CCD87" w14:textId="77777777" w:rsidR="00AF664D" w:rsidRPr="00E85C8C" w:rsidRDefault="00AF664D" w:rsidP="00D60720">
      <w:pPr>
        <w:spacing w:line="360" w:lineRule="auto"/>
        <w:jc w:val="both"/>
        <w:rPr>
          <w:rFonts w:ascii="Arial" w:eastAsia="Arial" w:hAnsi="Arial" w:cs="Arial"/>
        </w:rPr>
      </w:pPr>
    </w:p>
    <w:p w14:paraId="7745766D" w14:textId="77777777" w:rsidR="00AF664D" w:rsidRPr="00E85C8C" w:rsidRDefault="00AF664D" w:rsidP="00D60720">
      <w:pPr>
        <w:numPr>
          <w:ilvl w:val="0"/>
          <w:numId w:val="44"/>
        </w:numPr>
        <w:autoSpaceDN w:val="0"/>
        <w:spacing w:line="360" w:lineRule="auto"/>
        <w:ind w:hanging="720"/>
        <w:jc w:val="both"/>
        <w:rPr>
          <w:rFonts w:ascii="Arial" w:eastAsia="Arial" w:hAnsi="Arial" w:cs="Arial"/>
        </w:rPr>
      </w:pPr>
      <w:r w:rsidRPr="00E85C8C">
        <w:rPr>
          <w:rFonts w:ascii="Arial" w:eastAsia="Arial" w:hAnsi="Arial" w:cs="Arial"/>
        </w:rPr>
        <w:t>Cuando sea estrictamente necesaria la contratación de personal eventual, se realizará, previa evaluación de la Dirección de Recursos Humanos de la Secretaría de Finanzas y Administración y en su caso autorizada por la Comisión de Gasto-Financiamiento del Estado de Michoacán. Los recursos autorizados por este concepto no podrán incrementarse durante el ejercicio fiscal; y,</w:t>
      </w:r>
    </w:p>
    <w:p w14:paraId="3EDD3141" w14:textId="77777777" w:rsidR="00AF664D" w:rsidRPr="00E85C8C" w:rsidRDefault="00AF664D" w:rsidP="00D60720">
      <w:pPr>
        <w:spacing w:line="360" w:lineRule="auto"/>
        <w:jc w:val="both"/>
        <w:rPr>
          <w:rFonts w:ascii="Arial" w:eastAsia="Arial" w:hAnsi="Arial" w:cs="Arial"/>
        </w:rPr>
      </w:pPr>
    </w:p>
    <w:p w14:paraId="46B7559E" w14:textId="77777777" w:rsidR="00AF664D" w:rsidRPr="00E85C8C" w:rsidRDefault="00AF664D" w:rsidP="00D60720">
      <w:pPr>
        <w:spacing w:line="360" w:lineRule="auto"/>
        <w:ind w:left="1413" w:hanging="705"/>
        <w:jc w:val="both"/>
        <w:rPr>
          <w:rFonts w:ascii="Arial" w:eastAsia="Arial" w:hAnsi="Arial" w:cs="Arial"/>
        </w:rPr>
      </w:pPr>
      <w:r w:rsidRPr="00E85C8C">
        <w:rPr>
          <w:rFonts w:ascii="Arial" w:eastAsia="Arial" w:hAnsi="Arial" w:cs="Arial"/>
        </w:rPr>
        <w:t>IV.</w:t>
      </w:r>
      <w:r w:rsidRPr="00E85C8C">
        <w:rPr>
          <w:rFonts w:ascii="Arial" w:eastAsia="Arial" w:hAnsi="Arial" w:cs="Arial"/>
        </w:rPr>
        <w:tab/>
        <w:t>Tratándose de Entidades Paraestatales, las solicitudes de autorización ante la Comisión de Gasto-Financiamiento, deberán acompañarse de la autorización de sus Órganos de Gobierno y sólo procederán cuando se cuente con recursos excedentes para cubrir dicha petición o bien, compensados de su mismo presupuesto asignado. Aunado a las solicitudes deberán contener un estudio de costo beneficio, fuente de financiamiento y su vigencia.</w:t>
      </w:r>
    </w:p>
    <w:p w14:paraId="025C616C" w14:textId="77777777" w:rsidR="00AF664D" w:rsidRPr="00E85C8C" w:rsidRDefault="00AF664D" w:rsidP="00D60720">
      <w:pPr>
        <w:spacing w:line="360" w:lineRule="auto"/>
        <w:jc w:val="both"/>
        <w:rPr>
          <w:rFonts w:ascii="Arial" w:eastAsia="Arial" w:hAnsi="Arial" w:cs="Arial"/>
        </w:rPr>
      </w:pPr>
    </w:p>
    <w:p w14:paraId="2D12299A"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42.</w:t>
      </w:r>
      <w:r w:rsidRPr="00E85C8C">
        <w:rPr>
          <w:rFonts w:ascii="Arial" w:eastAsia="Arial" w:hAnsi="Arial" w:cs="Arial"/>
        </w:rPr>
        <w:t xml:space="preserve"> Los recursos previstos en servicios personales que por alguna causa no se ejerzan se considerarán economías y serán cancelados por la Secretaría de Finanzas y Administración, sin que para ello se requiera aprobación por parte de los ejecutores de gasto. Estos recursos podrán ser reasignados al final del ejercicio fiscal para mantener un balance presupuestario sostenible.</w:t>
      </w:r>
    </w:p>
    <w:p w14:paraId="2CD2C9B9" w14:textId="77777777" w:rsidR="00AF664D" w:rsidRPr="00E85C8C" w:rsidRDefault="00AF664D" w:rsidP="00D60720">
      <w:pPr>
        <w:spacing w:line="360" w:lineRule="auto"/>
        <w:jc w:val="both"/>
        <w:rPr>
          <w:rFonts w:ascii="Arial" w:eastAsia="Arial" w:hAnsi="Arial" w:cs="Arial"/>
        </w:rPr>
      </w:pPr>
    </w:p>
    <w:p w14:paraId="2D918158"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En ningún caso dichas economías podrán utilizarse para la creación de nuevas plazas, contratación de personal eventual o de personas físicas por honorarios sin autorización de la Comisión de Gasto-Financiamiento.</w:t>
      </w:r>
    </w:p>
    <w:p w14:paraId="421BDD38" w14:textId="77777777" w:rsidR="00AF664D" w:rsidRPr="00E85C8C" w:rsidRDefault="00AF664D" w:rsidP="00D60720">
      <w:pPr>
        <w:spacing w:line="360" w:lineRule="auto"/>
        <w:jc w:val="both"/>
        <w:rPr>
          <w:rFonts w:ascii="Arial" w:eastAsia="Arial" w:hAnsi="Arial" w:cs="Arial"/>
        </w:rPr>
      </w:pPr>
    </w:p>
    <w:p w14:paraId="4202756D"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43.</w:t>
      </w:r>
      <w:r w:rsidRPr="00E85C8C">
        <w:rPr>
          <w:rFonts w:ascii="Arial" w:eastAsia="Arial" w:hAnsi="Arial" w:cs="Arial"/>
        </w:rPr>
        <w:t xml:space="preserve"> Las UPP’S, deberán reducir al mínimo indispensable las erogaciones que se originen por contrataciones de personas físicas y morales, para efecto de asesoría, consultoría, estudios, investigaciones y capacitación. Para su contratación deberá contar previamente con la autorización de la Comisión de Gasto-Financiamiento.</w:t>
      </w:r>
    </w:p>
    <w:p w14:paraId="735FA665" w14:textId="77777777" w:rsidR="00AF664D" w:rsidRPr="00E85C8C" w:rsidRDefault="00AF664D" w:rsidP="00D60720">
      <w:pPr>
        <w:spacing w:line="360" w:lineRule="auto"/>
        <w:jc w:val="both"/>
        <w:rPr>
          <w:rFonts w:ascii="Arial" w:eastAsia="Arial" w:hAnsi="Arial" w:cs="Arial"/>
        </w:rPr>
      </w:pPr>
    </w:p>
    <w:p w14:paraId="377F5BB1"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 xml:space="preserve">Artículo 44. </w:t>
      </w:r>
      <w:r w:rsidRPr="00E85C8C">
        <w:rPr>
          <w:rFonts w:ascii="Arial" w:eastAsia="Arial" w:hAnsi="Arial" w:cs="Arial"/>
        </w:rPr>
        <w:t>Las Dependencias, Coordinaciones y Entidades, para la reconversión de plazas, únicamente aplica en las recategorizaciones de sus estructuras orgánicas, con base en el Tabulador de Servidores Públicos de Mandos Medios y Superiores, debiendo contar con la opinión técnica de la Secretaría de la Contraloría y visto bueno de la Dirección de Recursos Humanos de la Secretaría de Finanzas y Administración, y aprobación por la Comisión de Gasto-Financiamiento.</w:t>
      </w:r>
    </w:p>
    <w:p w14:paraId="2BED5777" w14:textId="77777777" w:rsidR="00AF664D" w:rsidRPr="00E85C8C" w:rsidRDefault="00AF664D" w:rsidP="00D60720">
      <w:pPr>
        <w:spacing w:line="360" w:lineRule="auto"/>
        <w:jc w:val="both"/>
        <w:rPr>
          <w:rFonts w:ascii="Arial" w:eastAsia="Arial" w:hAnsi="Arial" w:cs="Arial"/>
        </w:rPr>
      </w:pPr>
    </w:p>
    <w:p w14:paraId="4B41329E"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45.</w:t>
      </w:r>
      <w:r w:rsidRPr="00E85C8C">
        <w:rPr>
          <w:rFonts w:ascii="Arial" w:eastAsia="Arial" w:hAnsi="Arial" w:cs="Arial"/>
        </w:rPr>
        <w:t xml:space="preserve"> En estricto apego a lo señalado en el artículo 10 de la Ley de Disciplina Financiera de las Entidades Federativas y los Municipios, en lo referente al pago de remuneraciones ordinarias y extraordinarias a los trabajadores adscritos a las Dependencias y Entidades, la Secretaría de Finanzas y Administración, será la única dependencia facultada para el pago de estos a través de la Dirección de Recursos Humanos.</w:t>
      </w:r>
    </w:p>
    <w:p w14:paraId="1F3FAEB1" w14:textId="77777777" w:rsidR="00AF664D" w:rsidRPr="00E85C8C" w:rsidRDefault="00AF664D" w:rsidP="00D60720">
      <w:pPr>
        <w:spacing w:line="360" w:lineRule="auto"/>
        <w:jc w:val="center"/>
        <w:rPr>
          <w:rFonts w:ascii="Arial" w:eastAsia="Arial" w:hAnsi="Arial" w:cs="Arial"/>
        </w:rPr>
      </w:pPr>
    </w:p>
    <w:p w14:paraId="691D873A"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III</w:t>
      </w:r>
    </w:p>
    <w:p w14:paraId="2CD9AE7D"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 LAS ADQUISICIONES, BIENES Y SERVICIOS</w:t>
      </w:r>
    </w:p>
    <w:p w14:paraId="3607B2E6" w14:textId="77777777" w:rsidR="00AF664D" w:rsidRPr="00E85C8C" w:rsidRDefault="00AF664D" w:rsidP="00D60720">
      <w:pPr>
        <w:spacing w:line="360" w:lineRule="auto"/>
        <w:jc w:val="both"/>
        <w:rPr>
          <w:rFonts w:ascii="Arial" w:eastAsia="Arial" w:hAnsi="Arial" w:cs="Arial"/>
        </w:rPr>
      </w:pPr>
    </w:p>
    <w:p w14:paraId="6066F1F3"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46.</w:t>
      </w:r>
      <w:r w:rsidRPr="00E85C8C">
        <w:rPr>
          <w:rFonts w:ascii="Arial" w:eastAsia="Arial" w:hAnsi="Arial" w:cs="Arial"/>
        </w:rPr>
        <w:t xml:space="preserve"> Se realizará la contratación consolidada de materiales y suministros; servicios, material de oficina, material de limpieza, tóner, energía eléctrica, uniformes, seguros sobre personas y bienes, entre otros, siempre y cuando se asegure la obtención de ahorros y las mejores condiciones para el Estado en cuanto a calidad, servicio y precio.</w:t>
      </w:r>
    </w:p>
    <w:p w14:paraId="685CF3A8" w14:textId="77777777" w:rsidR="00AF664D" w:rsidRPr="00E85C8C" w:rsidRDefault="00AF664D" w:rsidP="00D60720">
      <w:pPr>
        <w:spacing w:line="360" w:lineRule="auto"/>
        <w:jc w:val="both"/>
        <w:rPr>
          <w:rFonts w:ascii="Arial" w:eastAsia="Arial" w:hAnsi="Arial" w:cs="Arial"/>
        </w:rPr>
      </w:pPr>
    </w:p>
    <w:p w14:paraId="50FC61F3"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 xml:space="preserve">Para la adquisición del suministro de energía eléctrica, la Secretaría de Finanzas y Administración estará facultada para utilizar los esquemas y figuras dispuestos por las leyes, que permitan optimizar las condiciones de prestación del mismo. </w:t>
      </w:r>
    </w:p>
    <w:p w14:paraId="7D469305" w14:textId="77777777" w:rsidR="00AF664D" w:rsidRPr="00E85C8C" w:rsidRDefault="00AF664D" w:rsidP="00D60720">
      <w:pPr>
        <w:spacing w:line="360" w:lineRule="auto"/>
        <w:jc w:val="both"/>
        <w:rPr>
          <w:rFonts w:ascii="Arial" w:eastAsia="Arial" w:hAnsi="Arial" w:cs="Arial"/>
          <w:b/>
        </w:rPr>
      </w:pPr>
    </w:p>
    <w:p w14:paraId="17832EAA"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47.</w:t>
      </w:r>
      <w:r w:rsidRPr="00E85C8C">
        <w:rPr>
          <w:rFonts w:ascii="Arial" w:eastAsia="Arial" w:hAnsi="Arial" w:cs="Arial"/>
        </w:rPr>
        <w:t xml:space="preserve"> Las UPP’S no podrán efectuar adquisiciones o nuevos arrendamientos de bienes muebles e inmuebles, salvo en los casos estrictamente indispensable</w:t>
      </w:r>
      <w:r>
        <w:rPr>
          <w:rFonts w:ascii="Arial" w:eastAsia="Arial" w:hAnsi="Arial" w:cs="Arial"/>
        </w:rPr>
        <w:t>s</w:t>
      </w:r>
      <w:r w:rsidRPr="00E85C8C">
        <w:rPr>
          <w:rFonts w:ascii="Arial" w:eastAsia="Arial" w:hAnsi="Arial" w:cs="Arial"/>
        </w:rPr>
        <w:t xml:space="preserve"> y plenamente justificados.</w:t>
      </w:r>
    </w:p>
    <w:p w14:paraId="1EA1EF60" w14:textId="77777777" w:rsidR="00AF664D" w:rsidRPr="00E85C8C" w:rsidRDefault="00AF664D" w:rsidP="00D60720">
      <w:pPr>
        <w:spacing w:line="360" w:lineRule="auto"/>
        <w:jc w:val="both"/>
        <w:rPr>
          <w:rFonts w:ascii="Arial" w:eastAsia="Arial" w:hAnsi="Arial" w:cs="Arial"/>
        </w:rPr>
      </w:pPr>
    </w:p>
    <w:p w14:paraId="4568F185"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48.</w:t>
      </w:r>
      <w:r w:rsidRPr="00E85C8C">
        <w:rPr>
          <w:rFonts w:ascii="Arial" w:eastAsia="Arial" w:hAnsi="Arial" w:cs="Arial"/>
        </w:rPr>
        <w:t xml:space="preserve"> Los viajes al extranjero se sujetarán a la autorización de la Comisión de Gasto-Financiamiento en los términos señalados en el Manual para el Ejercicio de Gasto en materia de Viáticos del Gobierno del Estado de Michoacán. </w:t>
      </w:r>
    </w:p>
    <w:p w14:paraId="66064545" w14:textId="77777777" w:rsidR="00AF664D" w:rsidRPr="00E85C8C" w:rsidRDefault="00AF664D" w:rsidP="00D60720">
      <w:pPr>
        <w:spacing w:line="360" w:lineRule="auto"/>
        <w:jc w:val="both"/>
        <w:rPr>
          <w:rFonts w:ascii="Arial" w:eastAsia="Arial" w:hAnsi="Arial" w:cs="Arial"/>
        </w:rPr>
      </w:pPr>
    </w:p>
    <w:p w14:paraId="199C4C9F"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b/>
        </w:rPr>
        <w:t>Artículo 49.</w:t>
      </w:r>
      <w:r w:rsidRPr="00E85C8C">
        <w:rPr>
          <w:rFonts w:ascii="Arial" w:eastAsia="Arial" w:hAnsi="Arial" w:cs="Arial"/>
        </w:rPr>
        <w:t xml:space="preserve"> Las acciones de publicidad, y en general, las actividades relacionadas con comunicación social de las Dependencias serán aplicadas y rubricadas por la Coordinación de Comunicación, con cargo al presupuesto aprobado para éstas, debiendo utilizar, preferentemente, los medios de difusión del sector público y se autorizarán única y exclusivamente para la difusión de los programas institucionales de la Administración Pública del Estado de Michoacán de Ocampo.</w:t>
      </w:r>
    </w:p>
    <w:p w14:paraId="1C344076" w14:textId="77777777" w:rsidR="00AF664D" w:rsidRPr="00E85C8C" w:rsidRDefault="00AF664D" w:rsidP="00D60720">
      <w:pPr>
        <w:spacing w:line="360" w:lineRule="auto"/>
        <w:jc w:val="both"/>
        <w:rPr>
          <w:rFonts w:ascii="Arial" w:eastAsia="Arial" w:hAnsi="Arial" w:cs="Arial"/>
        </w:rPr>
      </w:pPr>
    </w:p>
    <w:p w14:paraId="1B99BA66"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IV</w:t>
      </w:r>
    </w:p>
    <w:p w14:paraId="73909220"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 LAS TRANSFERENCIAS, ASIGNACIONES,</w:t>
      </w:r>
    </w:p>
    <w:p w14:paraId="0C42C2E0"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SUBSIDIOS Y OTRAS AYUDAS</w:t>
      </w:r>
    </w:p>
    <w:p w14:paraId="783AB88E" w14:textId="77777777" w:rsidR="00AF664D" w:rsidRPr="00E85C8C" w:rsidRDefault="00AF664D" w:rsidP="00D60720">
      <w:pPr>
        <w:spacing w:line="360" w:lineRule="auto"/>
        <w:jc w:val="both"/>
        <w:rPr>
          <w:rFonts w:ascii="Arial" w:eastAsia="Arial" w:hAnsi="Arial" w:cs="Arial"/>
        </w:rPr>
      </w:pPr>
    </w:p>
    <w:p w14:paraId="7FC70DBA" w14:textId="77777777" w:rsidR="00AF664D" w:rsidRDefault="00AF664D" w:rsidP="00D60720">
      <w:pPr>
        <w:spacing w:line="360" w:lineRule="auto"/>
        <w:jc w:val="both"/>
        <w:rPr>
          <w:rFonts w:ascii="Arial" w:eastAsia="Arial" w:hAnsi="Arial" w:cs="Arial"/>
        </w:rPr>
      </w:pPr>
      <w:r w:rsidRPr="00E85C8C">
        <w:rPr>
          <w:rFonts w:ascii="Arial" w:eastAsia="Arial" w:hAnsi="Arial" w:cs="Arial"/>
          <w:b/>
        </w:rPr>
        <w:t>Artículo 50.</w:t>
      </w:r>
      <w:r w:rsidRPr="00E85C8C">
        <w:rPr>
          <w:rFonts w:ascii="Arial" w:eastAsia="Arial" w:hAnsi="Arial" w:cs="Arial"/>
        </w:rPr>
        <w:t xml:space="preserve"> Los Poderes Legislativo y Judicial, así como Entidades y Organismos Autónomos, manejarán y erogarán los recursos bajo la personalidad jurídica que los constituya, por lo que corresponde a la percepción de subsidios y transferencias, los recibirán de la Secretaría de Finanzas y Administración en los términos que se fijen en los presupuestos anuales del Estado, sujetándose a los controles y procedimientos establecidos en la materia, y al comportamiento de los recursos financieros, por lo que estos serán responsables de ejercer dicho presupuesto, conforme a las disposiciones de este Decreto y demás normatividad aplicable.</w:t>
      </w:r>
    </w:p>
    <w:p w14:paraId="22533A4D" w14:textId="77777777" w:rsidR="00D60720" w:rsidRPr="00E85C8C" w:rsidRDefault="00D60720" w:rsidP="00D60720">
      <w:pPr>
        <w:spacing w:line="360" w:lineRule="auto"/>
        <w:jc w:val="both"/>
        <w:rPr>
          <w:rFonts w:ascii="Arial" w:hAnsi="Arial" w:cs="Arial"/>
        </w:rPr>
      </w:pPr>
    </w:p>
    <w:p w14:paraId="12669960"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Los entes que otorguen subsidios directos en beneficio de la población deberán reportar trimestralmente a la Secretaría de Finanzas y Administración la información relativa al avance de las metas y monto de los subsidios y apoyos entregados, según corresponda, así como la desagregación geográfica a nivel municipal, entre otros rubros, de conformidad con las disposiciones específicas en materia de transparencia presupuestaria.</w:t>
      </w:r>
    </w:p>
    <w:p w14:paraId="0516B4A5" w14:textId="77777777" w:rsidR="00AF664D" w:rsidRPr="00E85C8C" w:rsidRDefault="00AF664D" w:rsidP="00D60720">
      <w:pPr>
        <w:spacing w:line="360" w:lineRule="auto"/>
        <w:jc w:val="both"/>
        <w:rPr>
          <w:rFonts w:ascii="Arial" w:eastAsia="Arial" w:hAnsi="Arial" w:cs="Arial"/>
        </w:rPr>
      </w:pPr>
    </w:p>
    <w:p w14:paraId="531CDD54" w14:textId="77777777" w:rsidR="00AF664D" w:rsidRPr="00F25EB2" w:rsidRDefault="00AF664D" w:rsidP="00D60720">
      <w:pPr>
        <w:spacing w:line="360" w:lineRule="auto"/>
        <w:jc w:val="both"/>
        <w:rPr>
          <w:rFonts w:ascii="Arial" w:eastAsia="Arial" w:hAnsi="Arial" w:cs="Arial"/>
        </w:rPr>
      </w:pPr>
      <w:r w:rsidRPr="00E85C8C">
        <w:rPr>
          <w:rFonts w:ascii="Arial" w:eastAsia="Arial" w:hAnsi="Arial" w:cs="Arial"/>
          <w:b/>
        </w:rPr>
        <w:t>Artículo 51.</w:t>
      </w:r>
      <w:r w:rsidRPr="00E85C8C">
        <w:rPr>
          <w:rFonts w:ascii="Arial" w:eastAsia="Arial" w:hAnsi="Arial" w:cs="Arial"/>
        </w:rPr>
        <w:t xml:space="preserve"> Los entes públicos que reciban transferencias adicionales a las aprobadas en el presente Decreto, provenientes de recursos de origen federal y que no consideren una contraparte estatal, solicitarán a la Secretaría de Finanzas y Administración la ampliación presu</w:t>
      </w:r>
      <w:r>
        <w:rPr>
          <w:rFonts w:ascii="Arial" w:eastAsia="Arial" w:hAnsi="Arial" w:cs="Arial"/>
        </w:rPr>
        <w:t>puestal respectiva.</w:t>
      </w:r>
    </w:p>
    <w:p w14:paraId="1563D2FC" w14:textId="77777777" w:rsidR="00AF664D" w:rsidRPr="00E85C8C" w:rsidRDefault="00AF664D" w:rsidP="00D60720">
      <w:pPr>
        <w:spacing w:line="360" w:lineRule="auto"/>
        <w:jc w:val="center"/>
        <w:rPr>
          <w:rFonts w:ascii="Arial" w:eastAsia="Arial" w:hAnsi="Arial" w:cs="Arial"/>
          <w:b/>
        </w:rPr>
      </w:pPr>
    </w:p>
    <w:p w14:paraId="31A1BD81"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V</w:t>
      </w:r>
    </w:p>
    <w:p w14:paraId="24EFBAEF"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DEL GASTO DE INVERSIÓN</w:t>
      </w:r>
    </w:p>
    <w:p w14:paraId="1BE317BA" w14:textId="77777777" w:rsidR="00AF664D" w:rsidRPr="00E85C8C" w:rsidRDefault="00AF664D" w:rsidP="00D60720">
      <w:pPr>
        <w:spacing w:line="360" w:lineRule="auto"/>
        <w:jc w:val="both"/>
        <w:rPr>
          <w:rFonts w:ascii="Arial" w:eastAsia="Arial" w:hAnsi="Arial" w:cs="Arial"/>
        </w:rPr>
      </w:pPr>
    </w:p>
    <w:p w14:paraId="7211F72F"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52.</w:t>
      </w:r>
      <w:r w:rsidRPr="00E85C8C">
        <w:rPr>
          <w:rFonts w:ascii="Arial" w:eastAsia="Arial" w:hAnsi="Arial" w:cs="Arial"/>
        </w:rPr>
        <w:t xml:space="preserve"> Para la programación, presupuestación y ejercicio del gasto de inversión pública, las Dependencias y Entidades deberán atender a los lineamientos e instrumentos jurídicos y técnicos en la materia, así como a los criterios siguientes:</w:t>
      </w:r>
    </w:p>
    <w:p w14:paraId="3644C441" w14:textId="77777777" w:rsidR="00AF664D" w:rsidRPr="00E85C8C" w:rsidRDefault="00AF664D" w:rsidP="00D60720">
      <w:pPr>
        <w:spacing w:line="360" w:lineRule="auto"/>
        <w:jc w:val="both"/>
        <w:rPr>
          <w:rFonts w:ascii="Arial" w:eastAsia="Arial" w:hAnsi="Arial" w:cs="Arial"/>
        </w:rPr>
      </w:pPr>
    </w:p>
    <w:p w14:paraId="0729C6F6" w14:textId="77777777" w:rsidR="00AF664D" w:rsidRPr="00E85C8C" w:rsidRDefault="00AF664D" w:rsidP="00D60720">
      <w:pPr>
        <w:numPr>
          <w:ilvl w:val="0"/>
          <w:numId w:val="45"/>
        </w:numPr>
        <w:autoSpaceDN w:val="0"/>
        <w:spacing w:line="360" w:lineRule="auto"/>
        <w:jc w:val="both"/>
        <w:rPr>
          <w:rFonts w:ascii="Arial" w:eastAsia="Arial" w:hAnsi="Arial" w:cs="Arial"/>
        </w:rPr>
      </w:pPr>
      <w:r w:rsidRPr="00E85C8C">
        <w:rPr>
          <w:rFonts w:ascii="Arial" w:eastAsia="Arial" w:hAnsi="Arial" w:cs="Arial"/>
        </w:rPr>
        <w:t>Solicitar ante la Secretaría de Finanzas y Administración el registro en la cartera de proyectos de inversión;</w:t>
      </w:r>
    </w:p>
    <w:p w14:paraId="68C27A92" w14:textId="77777777" w:rsidR="00AF664D" w:rsidRPr="00E85C8C" w:rsidRDefault="00AF664D" w:rsidP="00D60720">
      <w:pPr>
        <w:spacing w:line="360" w:lineRule="auto"/>
        <w:ind w:left="709" w:hanging="567"/>
        <w:jc w:val="both"/>
        <w:rPr>
          <w:rFonts w:ascii="Arial" w:eastAsia="Arial" w:hAnsi="Arial" w:cs="Arial"/>
        </w:rPr>
      </w:pPr>
    </w:p>
    <w:p w14:paraId="07E51D84" w14:textId="77777777" w:rsidR="00AF664D" w:rsidRPr="00E85C8C" w:rsidRDefault="00AF664D" w:rsidP="00D60720">
      <w:pPr>
        <w:numPr>
          <w:ilvl w:val="0"/>
          <w:numId w:val="45"/>
        </w:numPr>
        <w:autoSpaceDN w:val="0"/>
        <w:spacing w:line="360" w:lineRule="auto"/>
        <w:jc w:val="both"/>
        <w:rPr>
          <w:rFonts w:ascii="Arial" w:eastAsia="Arial" w:hAnsi="Arial" w:cs="Arial"/>
        </w:rPr>
      </w:pPr>
      <w:r w:rsidRPr="00E85C8C">
        <w:rPr>
          <w:rFonts w:ascii="Arial" w:eastAsia="Arial" w:hAnsi="Arial" w:cs="Arial"/>
        </w:rPr>
        <w:t>Aprovechar al máximo la mano de obra e insumos locales, así como la capacidad instalada, a fin de reducir costos; debiendo considerar a la población beneficiada;</w:t>
      </w:r>
    </w:p>
    <w:p w14:paraId="7BAA08B2" w14:textId="77777777" w:rsidR="00AF664D" w:rsidRPr="00E85C8C" w:rsidRDefault="00AF664D" w:rsidP="00D60720">
      <w:pPr>
        <w:pStyle w:val="Prrafodelista"/>
        <w:spacing w:line="360" w:lineRule="auto"/>
        <w:rPr>
          <w:rFonts w:ascii="Arial" w:eastAsia="Arial" w:hAnsi="Arial" w:cs="Arial"/>
        </w:rPr>
      </w:pPr>
    </w:p>
    <w:p w14:paraId="451C9A43" w14:textId="77777777" w:rsidR="00AF664D" w:rsidRPr="00E85C8C" w:rsidRDefault="00AF664D" w:rsidP="00D60720">
      <w:pPr>
        <w:numPr>
          <w:ilvl w:val="0"/>
          <w:numId w:val="45"/>
        </w:numPr>
        <w:autoSpaceDN w:val="0"/>
        <w:spacing w:line="360" w:lineRule="auto"/>
        <w:jc w:val="both"/>
        <w:rPr>
          <w:rFonts w:ascii="Arial" w:eastAsia="Arial" w:hAnsi="Arial" w:cs="Arial"/>
        </w:rPr>
      </w:pPr>
      <w:r w:rsidRPr="00E85C8C">
        <w:rPr>
          <w:rFonts w:ascii="Arial" w:eastAsia="Arial" w:hAnsi="Arial" w:cs="Arial"/>
        </w:rPr>
        <w:t>Las ejecutoras del gasto deberán dar prioridad a la conclusión de obras en proceso;</w:t>
      </w:r>
    </w:p>
    <w:p w14:paraId="7556D115" w14:textId="77777777" w:rsidR="00AF664D" w:rsidRPr="00E85C8C" w:rsidRDefault="00AF664D" w:rsidP="00D60720">
      <w:pPr>
        <w:spacing w:line="360" w:lineRule="auto"/>
        <w:ind w:left="709" w:hanging="567"/>
        <w:jc w:val="both"/>
        <w:rPr>
          <w:rFonts w:ascii="Arial" w:eastAsia="Arial" w:hAnsi="Arial" w:cs="Arial"/>
        </w:rPr>
      </w:pPr>
    </w:p>
    <w:p w14:paraId="1E9FFD2E" w14:textId="77777777" w:rsidR="00AF664D" w:rsidRPr="00E85C8C" w:rsidRDefault="00AF664D" w:rsidP="00D60720">
      <w:pPr>
        <w:numPr>
          <w:ilvl w:val="0"/>
          <w:numId w:val="45"/>
        </w:numPr>
        <w:autoSpaceDN w:val="0"/>
        <w:spacing w:line="360" w:lineRule="auto"/>
        <w:jc w:val="both"/>
        <w:rPr>
          <w:rFonts w:ascii="Arial" w:eastAsia="Arial" w:hAnsi="Arial" w:cs="Arial"/>
        </w:rPr>
      </w:pPr>
      <w:r>
        <w:rPr>
          <w:rFonts w:ascii="Arial" w:eastAsia="Arial" w:hAnsi="Arial" w:cs="Arial"/>
        </w:rPr>
        <w:t>Prever que las obras nuevas</w:t>
      </w:r>
      <w:r w:rsidRPr="00E85C8C">
        <w:rPr>
          <w:rFonts w:ascii="Arial" w:eastAsia="Arial" w:hAnsi="Arial" w:cs="Arial"/>
        </w:rPr>
        <w:t xml:space="preserve"> estén registradas en la cartera de proyectos, las cuales deberán contener el proyecto ejecutivo, presentar rentabilidad social y económica, cumpliendo con los requisitos de tipo ambiental para su ejecución;</w:t>
      </w:r>
    </w:p>
    <w:p w14:paraId="7AC08C93" w14:textId="77777777" w:rsidR="00AF664D" w:rsidRPr="00E85C8C" w:rsidRDefault="00AF664D" w:rsidP="00D60720">
      <w:pPr>
        <w:pStyle w:val="Prrafodelista"/>
        <w:spacing w:line="360" w:lineRule="auto"/>
        <w:rPr>
          <w:rFonts w:ascii="Arial" w:eastAsia="Arial" w:hAnsi="Arial" w:cs="Arial"/>
        </w:rPr>
      </w:pPr>
    </w:p>
    <w:p w14:paraId="47DDCC74" w14:textId="77777777" w:rsidR="00AF664D" w:rsidRPr="00E85C8C" w:rsidRDefault="00AF664D" w:rsidP="00D60720">
      <w:pPr>
        <w:numPr>
          <w:ilvl w:val="0"/>
          <w:numId w:val="45"/>
        </w:numPr>
        <w:autoSpaceDN w:val="0"/>
        <w:spacing w:line="360" w:lineRule="auto"/>
        <w:jc w:val="both"/>
        <w:rPr>
          <w:rFonts w:ascii="Arial" w:eastAsia="Arial" w:hAnsi="Arial" w:cs="Arial"/>
        </w:rPr>
      </w:pPr>
      <w:r w:rsidRPr="00E85C8C">
        <w:rPr>
          <w:rFonts w:ascii="Arial" w:eastAsia="Arial" w:hAnsi="Arial" w:cs="Arial"/>
        </w:rPr>
        <w:t>La asignación de recursos para obra pública requerirá la existencia del proyecto ejecutivo y para la contratación de los mismos, las Dependencias y Entidades deberán presentar el catálogo del presupuesto base, así como el expediente técnico y cumplir con las disposiciones emitidas por la Secretaría</w:t>
      </w:r>
      <w:r>
        <w:rPr>
          <w:rFonts w:ascii="Arial" w:eastAsia="Arial" w:hAnsi="Arial" w:cs="Arial"/>
        </w:rPr>
        <w:t xml:space="preserve"> de Finanzas y Administración; y</w:t>
      </w:r>
      <w:r w:rsidRPr="00E85C8C">
        <w:rPr>
          <w:rFonts w:ascii="Arial" w:eastAsia="Arial" w:hAnsi="Arial" w:cs="Arial"/>
        </w:rPr>
        <w:t>,</w:t>
      </w:r>
    </w:p>
    <w:p w14:paraId="22F94B18" w14:textId="77777777" w:rsidR="00AF664D" w:rsidRPr="00E85C8C" w:rsidRDefault="00AF664D" w:rsidP="00D60720">
      <w:pPr>
        <w:spacing w:line="360" w:lineRule="auto"/>
        <w:ind w:left="709" w:hanging="567"/>
        <w:jc w:val="both"/>
        <w:rPr>
          <w:rFonts w:ascii="Arial" w:eastAsia="Arial" w:hAnsi="Arial" w:cs="Arial"/>
        </w:rPr>
      </w:pPr>
    </w:p>
    <w:p w14:paraId="50C2A019" w14:textId="77777777" w:rsidR="00AF664D" w:rsidRPr="00E85C8C" w:rsidRDefault="00AF664D" w:rsidP="00D60720">
      <w:pPr>
        <w:numPr>
          <w:ilvl w:val="0"/>
          <w:numId w:val="45"/>
        </w:numPr>
        <w:autoSpaceDN w:val="0"/>
        <w:spacing w:line="360" w:lineRule="auto"/>
        <w:jc w:val="both"/>
        <w:rPr>
          <w:rFonts w:ascii="Arial" w:eastAsia="Arial" w:hAnsi="Arial" w:cs="Arial"/>
        </w:rPr>
      </w:pPr>
      <w:r w:rsidRPr="00E85C8C">
        <w:rPr>
          <w:rFonts w:ascii="Arial" w:eastAsia="Arial" w:hAnsi="Arial" w:cs="Arial"/>
        </w:rPr>
        <w:t>Informar trimestralmente a la Secretaría de Finanzas y Administración los avances físicos y financieros, en estricto apego a los términos establecidos en los fondos o convenios correspondientes. La Secretaría de la Contraloría deberá dar seguimiento a la ejecución de estos proyectos.</w:t>
      </w:r>
    </w:p>
    <w:p w14:paraId="5584CAC1" w14:textId="77777777" w:rsidR="00AF664D" w:rsidRPr="00E85C8C" w:rsidRDefault="00AF664D" w:rsidP="00D60720">
      <w:pPr>
        <w:autoSpaceDN w:val="0"/>
        <w:spacing w:line="360" w:lineRule="auto"/>
        <w:ind w:left="360"/>
        <w:jc w:val="both"/>
        <w:rPr>
          <w:rFonts w:ascii="Arial" w:eastAsia="Arial" w:hAnsi="Arial" w:cs="Arial"/>
        </w:rPr>
      </w:pPr>
    </w:p>
    <w:p w14:paraId="626328A0"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53.</w:t>
      </w:r>
      <w:r w:rsidRPr="00E85C8C">
        <w:rPr>
          <w:rFonts w:ascii="Arial" w:eastAsia="Arial" w:hAnsi="Arial" w:cs="Arial"/>
        </w:rPr>
        <w:t xml:space="preserve"> Las Dependencias y Entidades se abstendrán de convocar, formalizar o modificar contratos de obras públicas y de servicios relacionados con ellas, cuando no se cuente con la suficiencia presupuestaria; no se acredite con el oficio de liquidez financiera, o se carezca del convenio de transferencia de recursos.</w:t>
      </w:r>
    </w:p>
    <w:p w14:paraId="111A6C27" w14:textId="77777777" w:rsidR="00AF664D" w:rsidRPr="00E85C8C" w:rsidRDefault="00AF664D" w:rsidP="00D60720">
      <w:pPr>
        <w:autoSpaceDN w:val="0"/>
        <w:spacing w:line="360" w:lineRule="auto"/>
        <w:ind w:left="360"/>
        <w:jc w:val="both"/>
        <w:rPr>
          <w:rFonts w:ascii="Arial" w:eastAsia="Arial" w:hAnsi="Arial" w:cs="Arial"/>
        </w:rPr>
      </w:pPr>
    </w:p>
    <w:p w14:paraId="3DB3C878"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54.</w:t>
      </w:r>
      <w:r w:rsidRPr="00E85C8C">
        <w:rPr>
          <w:rFonts w:ascii="Arial" w:eastAsia="Arial" w:hAnsi="Arial" w:cs="Arial"/>
        </w:rPr>
        <w:t xml:space="preserve"> Las Dependencias y Entidades que cuenten con asignación presupuestal para obra pública, pero cuyas atribuciones sean ajenas a esta materia, de conformidad con la Ley Orgánica de la Administración Pública del Estado de Michoacán de Ocampo, se apoyarán en las Dependencias con funciones sustantivas en la materia, para la organización y ejecución de los procesos respectivos.</w:t>
      </w:r>
    </w:p>
    <w:p w14:paraId="351E7531" w14:textId="77777777" w:rsidR="00AF664D" w:rsidRPr="00E85C8C" w:rsidRDefault="00AF664D" w:rsidP="00D60720">
      <w:pPr>
        <w:autoSpaceDN w:val="0"/>
        <w:spacing w:line="360" w:lineRule="auto"/>
        <w:ind w:left="360"/>
        <w:jc w:val="both"/>
        <w:rPr>
          <w:rFonts w:ascii="Arial" w:eastAsia="Arial" w:hAnsi="Arial" w:cs="Arial"/>
        </w:rPr>
      </w:pPr>
    </w:p>
    <w:p w14:paraId="6C82AB38"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55.</w:t>
      </w:r>
      <w:r w:rsidRPr="00E85C8C">
        <w:rPr>
          <w:rFonts w:ascii="Arial" w:eastAsia="Arial" w:hAnsi="Arial" w:cs="Arial"/>
        </w:rPr>
        <w:t xml:space="preserve"> Los recursos programados por las Dependencias y Entidades para la ejecución de sus obras y acciones podrán ser transferidos a los Ayuntamientos mediante un convenio de coordinación.</w:t>
      </w:r>
    </w:p>
    <w:p w14:paraId="6BEF7C0D" w14:textId="77777777" w:rsidR="00AF664D" w:rsidRPr="00E85C8C" w:rsidRDefault="00AF664D" w:rsidP="00D60720">
      <w:pPr>
        <w:autoSpaceDN w:val="0"/>
        <w:spacing w:line="360" w:lineRule="auto"/>
        <w:ind w:left="360"/>
        <w:jc w:val="both"/>
        <w:rPr>
          <w:rFonts w:ascii="Arial" w:eastAsia="Arial" w:hAnsi="Arial" w:cs="Arial"/>
        </w:rPr>
      </w:pPr>
    </w:p>
    <w:p w14:paraId="5D76F08A"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56.</w:t>
      </w:r>
      <w:r w:rsidRPr="00E85C8C">
        <w:rPr>
          <w:rFonts w:ascii="Arial" w:eastAsia="Arial" w:hAnsi="Arial" w:cs="Arial"/>
        </w:rPr>
        <w:t xml:space="preserve"> Para dar inicio a la ejecución de las obras y proyectos que formen parte de un programa de inversión, las ejecutoras del gasto deberán cumplir con las disposiciones jurídicas en la materia.</w:t>
      </w:r>
    </w:p>
    <w:p w14:paraId="36F6B4AD" w14:textId="77777777" w:rsidR="00AF664D" w:rsidRPr="00E85C8C" w:rsidRDefault="00AF664D" w:rsidP="00D60720">
      <w:pPr>
        <w:autoSpaceDN w:val="0"/>
        <w:spacing w:line="360" w:lineRule="auto"/>
        <w:ind w:left="360"/>
        <w:jc w:val="both"/>
        <w:rPr>
          <w:rFonts w:ascii="Arial" w:eastAsia="Arial" w:hAnsi="Arial" w:cs="Arial"/>
        </w:rPr>
      </w:pPr>
    </w:p>
    <w:p w14:paraId="317E22D2" w14:textId="29BA1BA0"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57.</w:t>
      </w:r>
      <w:r w:rsidRPr="00E85C8C">
        <w:rPr>
          <w:rFonts w:ascii="Arial" w:eastAsia="Arial" w:hAnsi="Arial" w:cs="Arial"/>
        </w:rPr>
        <w:t xml:space="preserve"> Se presupuesta en las ejecutoras del gasto responsables, los montos correspondientes a los compromisos de pago del “PROGRAMA DE OBRA PÚBLICA MULTIANUAL DEL ESTADO DE MICHOACÁN DE OCAMPO” correspondiente al Ejercicio Fiscal 202</w:t>
      </w:r>
      <w:r w:rsidR="00FB20D2">
        <w:rPr>
          <w:rFonts w:ascii="Arial" w:eastAsia="Arial" w:hAnsi="Arial" w:cs="Arial"/>
        </w:rPr>
        <w:t>6</w:t>
      </w:r>
      <w:r w:rsidRPr="00E85C8C">
        <w:rPr>
          <w:rFonts w:ascii="Arial" w:eastAsia="Arial" w:hAnsi="Arial" w:cs="Arial"/>
        </w:rPr>
        <w:t xml:space="preserve">, cuyo objeto consiste en desarrollar diversos proyectos de infraestructura pública bajo jurisdicción estatal y municipal con una vigencia al 30 de junio de 2027 y por un importe total de hasta $9,000,000,000.00 (Nueve mil millones de pesos 00/100 M.N.), que incluye, entre otros; diversos estudios, la inversión en obra, supervisión, impuestos, costos y gastos derivados de la implementación y contratación de este programa, y asesorías correspondientes. Asimismo, se contempla el pago correspondiente al compromiso multianual adicional autorizado en el ejercicio fiscal 2024 y con vigencia al 30 de junio de 2027 por un importe de $2,560´000,000.00 (Dos mil quinientos sesenta millones de pesos 00/100 M.N.) </w:t>
      </w:r>
    </w:p>
    <w:p w14:paraId="4F0AA130" w14:textId="77777777" w:rsidR="00AF664D" w:rsidRPr="00E85C8C" w:rsidRDefault="00AF664D" w:rsidP="00D60720">
      <w:pPr>
        <w:autoSpaceDN w:val="0"/>
        <w:spacing w:line="360" w:lineRule="auto"/>
        <w:ind w:left="360"/>
        <w:jc w:val="both"/>
        <w:rPr>
          <w:rFonts w:ascii="Arial" w:eastAsia="Arial" w:hAnsi="Arial" w:cs="Arial"/>
        </w:rPr>
      </w:pPr>
    </w:p>
    <w:p w14:paraId="65D6928A" w14:textId="3801E84E"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58</w:t>
      </w:r>
      <w:r w:rsidRPr="00E85C8C">
        <w:rPr>
          <w:rFonts w:ascii="Arial" w:eastAsia="Arial" w:hAnsi="Arial" w:cs="Arial"/>
        </w:rPr>
        <w:t>. Los recursos procedentes del presupuesto inicial multianual y los complementarios deberán quedar debidamente comprometidos a más tardar el 31 de diciembre de 202</w:t>
      </w:r>
      <w:r w:rsidR="00FB20D2">
        <w:rPr>
          <w:rFonts w:ascii="Arial" w:eastAsia="Arial" w:hAnsi="Arial" w:cs="Arial"/>
        </w:rPr>
        <w:t>6</w:t>
      </w:r>
      <w:r w:rsidRPr="00E85C8C">
        <w:rPr>
          <w:rFonts w:ascii="Arial" w:eastAsia="Arial" w:hAnsi="Arial" w:cs="Arial"/>
        </w:rPr>
        <w:t xml:space="preserve"> y deberán ser devengados en su totalidad a más tardar el día 30 de junio de 2027.</w:t>
      </w:r>
    </w:p>
    <w:p w14:paraId="73C0ABBF" w14:textId="77777777" w:rsidR="00AF664D" w:rsidRPr="00E85C8C" w:rsidRDefault="00AF664D" w:rsidP="00D60720">
      <w:pPr>
        <w:autoSpaceDN w:val="0"/>
        <w:spacing w:line="360" w:lineRule="auto"/>
        <w:ind w:left="360"/>
        <w:jc w:val="both"/>
        <w:rPr>
          <w:rFonts w:ascii="Arial" w:eastAsia="Arial" w:hAnsi="Arial" w:cs="Arial"/>
        </w:rPr>
      </w:pPr>
    </w:p>
    <w:p w14:paraId="4189A2A4"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rPr>
        <w:t>Para efectos de este artículo se estará a lo dispuesto en la normatividad aplicable en materia de obra pública, planeación hacendaria, presupuesto, gasto público y contabilidad gubernamental, a su reglamentación y a los lineamientos específicos que emita la Secretaría de Finanzas y Administración.</w:t>
      </w:r>
    </w:p>
    <w:p w14:paraId="583148EA" w14:textId="77777777" w:rsidR="00AF664D" w:rsidRPr="00E85C8C" w:rsidRDefault="00AF664D" w:rsidP="00D60720">
      <w:pPr>
        <w:autoSpaceDN w:val="0"/>
        <w:spacing w:line="360" w:lineRule="auto"/>
        <w:jc w:val="both"/>
        <w:rPr>
          <w:rFonts w:ascii="Arial" w:eastAsia="Arial" w:hAnsi="Arial" w:cs="Arial"/>
        </w:rPr>
      </w:pPr>
    </w:p>
    <w:p w14:paraId="75C722F4"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59.</w:t>
      </w:r>
      <w:r w:rsidRPr="00E85C8C">
        <w:rPr>
          <w:rFonts w:ascii="Arial" w:eastAsia="Arial" w:hAnsi="Arial" w:cs="Arial"/>
        </w:rPr>
        <w:t xml:space="preserve"> Se autoriza la presupuestación multianual de los recursos para cubrir las obligaciones de pago generadas por los contratos de obra pública multianual, financiados y ejecutados por los contratistas y formalizados al amparo del “PROGRAMA DE OBRA PÚBLICA MULTIANUAL DEL ESTADO DE MICHOACÁN DE OCAMPO” con ingresos del Estado, en cada ejercicio fiscal y durante su vigencia, por lo que, en consecuencia, el Poder Ejecutivo del Gobierno del Estado de Michoacán de Ocampo presupuestará de manera multianual y asignará las partidas que resulten suficientes y necesarias en los Presupuestos de Egresos respectivos en términos de lo establecido en la Ley de Planeación Hacendaria, Presupuesto, Gasto Público y Contabilidad Gubernamental del Estado de Michoacán, incluyendo en su caso, el llevar a cabo las adecuaciones presupuestales que correspondan para el presente ejercicio fiscal y demás ejercicios fiscales hasta la vigencia del programa.</w:t>
      </w:r>
    </w:p>
    <w:p w14:paraId="5DA8B126" w14:textId="77777777" w:rsidR="00EE1C09" w:rsidRPr="00366D25" w:rsidRDefault="00EE1C09" w:rsidP="00D60720">
      <w:pPr>
        <w:autoSpaceDN w:val="0"/>
        <w:spacing w:line="360" w:lineRule="auto"/>
        <w:jc w:val="both"/>
        <w:rPr>
          <w:rFonts w:ascii="Arial" w:eastAsia="Arial" w:hAnsi="Arial" w:cs="Arial"/>
          <w:b/>
          <w:bCs/>
        </w:rPr>
      </w:pPr>
    </w:p>
    <w:p w14:paraId="32167CD2" w14:textId="4A208C06" w:rsidR="00AF664D" w:rsidRPr="00366D25" w:rsidRDefault="00AF664D" w:rsidP="00D60720">
      <w:pPr>
        <w:autoSpaceDN w:val="0"/>
        <w:spacing w:line="360" w:lineRule="auto"/>
        <w:jc w:val="both"/>
        <w:rPr>
          <w:rFonts w:ascii="Arial" w:eastAsia="Arial" w:hAnsi="Arial" w:cs="Arial"/>
        </w:rPr>
      </w:pPr>
      <w:r w:rsidRPr="00366D25">
        <w:rPr>
          <w:rFonts w:ascii="Arial" w:eastAsia="Arial" w:hAnsi="Arial" w:cs="Arial"/>
          <w:b/>
          <w:bCs/>
        </w:rPr>
        <w:t>Artículo 60.</w:t>
      </w:r>
      <w:r w:rsidRPr="00366D25">
        <w:rPr>
          <w:rFonts w:ascii="Arial" w:eastAsia="Arial" w:hAnsi="Arial" w:cs="Arial"/>
        </w:rPr>
        <w:t xml:space="preserve"> Se asignan recursos por la cantidad de $</w:t>
      </w:r>
      <w:r w:rsidR="00FB20D2" w:rsidRPr="00366D25">
        <w:rPr>
          <w:rFonts w:ascii="Arial" w:eastAsia="Arial" w:hAnsi="Arial" w:cs="Arial"/>
        </w:rPr>
        <w:t xml:space="preserve">1,442,751,325 </w:t>
      </w:r>
      <w:r w:rsidRPr="00366D25">
        <w:rPr>
          <w:rFonts w:ascii="Arial" w:eastAsia="Arial" w:hAnsi="Arial" w:cs="Arial"/>
        </w:rPr>
        <w:t>(</w:t>
      </w:r>
      <w:r w:rsidR="00FB20D2" w:rsidRPr="00366D25">
        <w:rPr>
          <w:rFonts w:ascii="Arial" w:eastAsia="Arial" w:hAnsi="Arial" w:cs="Arial"/>
        </w:rPr>
        <w:t>Mil cuatrocientos cuarenta y dos millones s</w:t>
      </w:r>
      <w:r w:rsidRPr="00366D25">
        <w:rPr>
          <w:rFonts w:ascii="Arial" w:eastAsia="Arial" w:hAnsi="Arial" w:cs="Arial"/>
        </w:rPr>
        <w:t xml:space="preserve">etecientos </w:t>
      </w:r>
      <w:r w:rsidR="00FB20D2" w:rsidRPr="00366D25">
        <w:rPr>
          <w:rFonts w:ascii="Arial" w:eastAsia="Arial" w:hAnsi="Arial" w:cs="Arial"/>
        </w:rPr>
        <w:t>cincuenta y un</w:t>
      </w:r>
      <w:r w:rsidRPr="00366D25">
        <w:rPr>
          <w:rFonts w:ascii="Arial" w:eastAsia="Arial" w:hAnsi="Arial" w:cs="Arial"/>
        </w:rPr>
        <w:t xml:space="preserve"> mil </w:t>
      </w:r>
      <w:r w:rsidR="00FB20D2" w:rsidRPr="00366D25">
        <w:rPr>
          <w:rFonts w:ascii="Arial" w:eastAsia="Arial" w:hAnsi="Arial" w:cs="Arial"/>
        </w:rPr>
        <w:t>trescientos veinticinco</w:t>
      </w:r>
      <w:r w:rsidRPr="00366D25">
        <w:rPr>
          <w:rFonts w:ascii="Arial" w:eastAsia="Arial" w:hAnsi="Arial" w:cs="Arial"/>
        </w:rPr>
        <w:t xml:space="preserve"> pesos 00/100 </w:t>
      </w:r>
      <w:r w:rsidR="00A70F55" w:rsidRPr="00366D25">
        <w:rPr>
          <w:rFonts w:ascii="Arial" w:eastAsia="Arial" w:hAnsi="Arial" w:cs="Arial"/>
        </w:rPr>
        <w:t>M.N.</w:t>
      </w:r>
      <w:r w:rsidRPr="00366D25">
        <w:rPr>
          <w:rFonts w:ascii="Arial" w:eastAsia="Arial" w:hAnsi="Arial" w:cs="Arial"/>
        </w:rPr>
        <w:t>) a la Unidad Programática Presupuestaria 22 Inversión Municipal, compuestos de la siguiente manera:</w:t>
      </w:r>
    </w:p>
    <w:p w14:paraId="23BF5D61" w14:textId="77777777" w:rsidR="00AF664D" w:rsidRPr="00366D25" w:rsidRDefault="00AF664D" w:rsidP="00D60720">
      <w:pPr>
        <w:autoSpaceDN w:val="0"/>
        <w:spacing w:line="360" w:lineRule="auto"/>
        <w:ind w:left="360"/>
        <w:jc w:val="both"/>
        <w:rPr>
          <w:rFonts w:ascii="Arial" w:eastAsia="Arial" w:hAnsi="Arial" w:cs="Arial"/>
        </w:rPr>
      </w:pPr>
    </w:p>
    <w:p w14:paraId="7F6E2AF3" w14:textId="2FB1A297" w:rsidR="00AF664D" w:rsidRPr="00E85C8C" w:rsidRDefault="00AF664D" w:rsidP="00D60720">
      <w:pPr>
        <w:autoSpaceDN w:val="0"/>
        <w:spacing w:line="360" w:lineRule="auto"/>
        <w:ind w:left="360"/>
        <w:jc w:val="both"/>
        <w:rPr>
          <w:rFonts w:ascii="Arial" w:eastAsia="Arial" w:hAnsi="Arial" w:cs="Arial"/>
        </w:rPr>
      </w:pPr>
      <w:r w:rsidRPr="00366D25">
        <w:rPr>
          <w:rFonts w:ascii="Arial" w:eastAsia="Arial" w:hAnsi="Arial" w:cs="Arial"/>
        </w:rPr>
        <w:t>I.</w:t>
      </w:r>
      <w:r w:rsidRPr="00366D25">
        <w:rPr>
          <w:rFonts w:ascii="Arial" w:eastAsia="Arial" w:hAnsi="Arial" w:cs="Arial"/>
        </w:rPr>
        <w:tab/>
        <w:t xml:space="preserve">La cantidad de </w:t>
      </w:r>
      <w:r w:rsidR="00A745E9" w:rsidRPr="00366D25">
        <w:rPr>
          <w:rFonts w:ascii="Arial" w:eastAsia="Arial" w:hAnsi="Arial" w:cs="Arial"/>
        </w:rPr>
        <w:t>$1,</w:t>
      </w:r>
      <w:r w:rsidR="00E01481" w:rsidRPr="00366D25">
        <w:rPr>
          <w:rFonts w:ascii="Arial" w:eastAsia="Arial" w:hAnsi="Arial" w:cs="Arial"/>
        </w:rPr>
        <w:t>367</w:t>
      </w:r>
      <w:r w:rsidR="00A745E9" w:rsidRPr="00366D25">
        <w:rPr>
          <w:rFonts w:ascii="Arial" w:eastAsia="Arial" w:hAnsi="Arial" w:cs="Arial"/>
        </w:rPr>
        <w:t>,</w:t>
      </w:r>
      <w:r w:rsidR="00E01481" w:rsidRPr="00366D25">
        <w:rPr>
          <w:rFonts w:ascii="Arial" w:eastAsia="Arial" w:hAnsi="Arial" w:cs="Arial"/>
        </w:rPr>
        <w:t>659</w:t>
      </w:r>
      <w:r w:rsidR="00A745E9" w:rsidRPr="00366D25">
        <w:rPr>
          <w:rFonts w:ascii="Arial" w:eastAsia="Arial" w:hAnsi="Arial" w:cs="Arial"/>
        </w:rPr>
        <w:t>,</w:t>
      </w:r>
      <w:r w:rsidR="00E01481" w:rsidRPr="00366D25">
        <w:rPr>
          <w:rFonts w:ascii="Arial" w:eastAsia="Arial" w:hAnsi="Arial" w:cs="Arial"/>
        </w:rPr>
        <w:t>482</w:t>
      </w:r>
      <w:r w:rsidR="00A745E9" w:rsidRPr="00366D25">
        <w:rPr>
          <w:rFonts w:ascii="Arial" w:eastAsia="Arial" w:hAnsi="Arial" w:cs="Arial"/>
        </w:rPr>
        <w:t xml:space="preserve"> (Mil </w:t>
      </w:r>
      <w:r w:rsidR="00E01481" w:rsidRPr="00366D25">
        <w:rPr>
          <w:rFonts w:ascii="Arial" w:eastAsia="Arial" w:hAnsi="Arial" w:cs="Arial"/>
        </w:rPr>
        <w:t>trescientos sesenta y siete</w:t>
      </w:r>
      <w:r w:rsidR="00A745E9" w:rsidRPr="00366D25">
        <w:rPr>
          <w:rFonts w:ascii="Arial" w:eastAsia="Arial" w:hAnsi="Arial" w:cs="Arial"/>
        </w:rPr>
        <w:t xml:space="preserve"> millones </w:t>
      </w:r>
      <w:r w:rsidR="00E01481" w:rsidRPr="00366D25">
        <w:rPr>
          <w:rFonts w:ascii="Arial" w:eastAsia="Arial" w:hAnsi="Arial" w:cs="Arial"/>
        </w:rPr>
        <w:t xml:space="preserve">seiscientos cincuenta y nueve </w:t>
      </w:r>
      <w:r w:rsidR="00A745E9" w:rsidRPr="00366D25">
        <w:rPr>
          <w:rFonts w:ascii="Arial" w:eastAsia="Arial" w:hAnsi="Arial" w:cs="Arial"/>
        </w:rPr>
        <w:t>mil</w:t>
      </w:r>
      <w:r w:rsidR="00E01481" w:rsidRPr="00366D25">
        <w:rPr>
          <w:rFonts w:ascii="Arial" w:eastAsia="Arial" w:hAnsi="Arial" w:cs="Arial"/>
        </w:rPr>
        <w:t xml:space="preserve"> cuatrocientos ochenta y dos</w:t>
      </w:r>
      <w:r w:rsidR="00A745E9" w:rsidRPr="00366D25">
        <w:rPr>
          <w:rFonts w:ascii="Arial" w:eastAsia="Arial" w:hAnsi="Arial" w:cs="Arial"/>
        </w:rPr>
        <w:t xml:space="preserve"> pesos 00/100 </w:t>
      </w:r>
      <w:r w:rsidR="00E01481" w:rsidRPr="00366D25">
        <w:rPr>
          <w:rFonts w:ascii="Arial" w:eastAsia="Arial" w:hAnsi="Arial" w:cs="Arial"/>
        </w:rPr>
        <w:t>M.N.</w:t>
      </w:r>
      <w:r w:rsidR="00A745E9" w:rsidRPr="00366D25">
        <w:rPr>
          <w:rFonts w:ascii="Arial" w:eastAsia="Arial" w:hAnsi="Arial" w:cs="Arial"/>
        </w:rPr>
        <w:t xml:space="preserve">) </w:t>
      </w:r>
      <w:r w:rsidRPr="00366D25">
        <w:rPr>
          <w:rFonts w:ascii="Arial" w:eastAsia="Arial" w:hAnsi="Arial" w:cs="Arial"/>
        </w:rPr>
        <w:t>correspondiente al Fondo de Aportaciones Estatales para la Infraestructura de los Servicios Públicos Municipales (FAEISPUM) 202</w:t>
      </w:r>
      <w:r w:rsidR="00E01481" w:rsidRPr="00366D25">
        <w:rPr>
          <w:rFonts w:ascii="Arial" w:eastAsia="Arial" w:hAnsi="Arial" w:cs="Arial"/>
        </w:rPr>
        <w:t>6</w:t>
      </w:r>
      <w:r w:rsidRPr="00366D25">
        <w:rPr>
          <w:rFonts w:ascii="Arial" w:eastAsia="Arial" w:hAnsi="Arial" w:cs="Arial"/>
        </w:rPr>
        <w:t>, determinado por la proporción del 5% del Fondo General de Participaciones correspondiente al Ejecutivo del Estado de Michoacán de Ocampo, conforme a lo establecido en el Artículo 35 Bis de la Ley de Coordinación Fiscal del Estado de Michoacán de Ocampo.</w:t>
      </w:r>
    </w:p>
    <w:p w14:paraId="4072AEE1" w14:textId="77777777" w:rsidR="00AF664D" w:rsidRPr="00E85C8C" w:rsidRDefault="00AF664D" w:rsidP="00D60720">
      <w:pPr>
        <w:autoSpaceDN w:val="0"/>
        <w:spacing w:line="360" w:lineRule="auto"/>
        <w:ind w:left="360"/>
        <w:jc w:val="both"/>
        <w:rPr>
          <w:rFonts w:ascii="Arial" w:eastAsia="Arial" w:hAnsi="Arial" w:cs="Arial"/>
        </w:rPr>
      </w:pPr>
    </w:p>
    <w:p w14:paraId="745C2261" w14:textId="27A35F4F" w:rsidR="00AF664D" w:rsidRPr="00E85C8C" w:rsidRDefault="009A7EE2" w:rsidP="00D60720">
      <w:pPr>
        <w:autoSpaceDN w:val="0"/>
        <w:spacing w:line="360" w:lineRule="auto"/>
        <w:jc w:val="both"/>
        <w:rPr>
          <w:rFonts w:ascii="Arial" w:eastAsia="Arial" w:hAnsi="Arial" w:cs="Arial"/>
        </w:rPr>
      </w:pPr>
      <w:r>
        <w:rPr>
          <w:rFonts w:ascii="Arial" w:eastAsia="Arial" w:hAnsi="Arial" w:cs="Arial"/>
        </w:rPr>
        <w:t>Dicho componente</w:t>
      </w:r>
      <w:r w:rsidR="00AF664D" w:rsidRPr="00E85C8C">
        <w:rPr>
          <w:rFonts w:ascii="Arial" w:eastAsia="Arial" w:hAnsi="Arial" w:cs="Arial"/>
        </w:rPr>
        <w:t xml:space="preserve"> operará bajo las Reglas y/o Lineamientos que la Secretaría de Finanzas y Administración del Ejecutivo del Estado publicará a más tardar el 31 de enero de 202</w:t>
      </w:r>
      <w:r>
        <w:rPr>
          <w:rFonts w:ascii="Arial" w:eastAsia="Arial" w:hAnsi="Arial" w:cs="Arial"/>
        </w:rPr>
        <w:t>6</w:t>
      </w:r>
      <w:r w:rsidR="00AF664D" w:rsidRPr="00E85C8C">
        <w:rPr>
          <w:rFonts w:ascii="Arial" w:eastAsia="Arial" w:hAnsi="Arial" w:cs="Arial"/>
        </w:rPr>
        <w:t>.</w:t>
      </w:r>
    </w:p>
    <w:p w14:paraId="0D9FD834" w14:textId="77777777" w:rsidR="00AF664D" w:rsidRPr="00E85C8C" w:rsidRDefault="00AF664D" w:rsidP="00D60720">
      <w:pPr>
        <w:autoSpaceDN w:val="0"/>
        <w:spacing w:line="360" w:lineRule="auto"/>
        <w:ind w:left="360"/>
        <w:jc w:val="both"/>
        <w:rPr>
          <w:rFonts w:ascii="Arial" w:eastAsia="Arial" w:hAnsi="Arial" w:cs="Arial"/>
        </w:rPr>
      </w:pPr>
    </w:p>
    <w:p w14:paraId="48360B32"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 xml:space="preserve">Artículo 61. </w:t>
      </w:r>
      <w:r w:rsidRPr="00E85C8C">
        <w:rPr>
          <w:rFonts w:ascii="Arial" w:eastAsia="Arial" w:hAnsi="Arial" w:cs="Arial"/>
        </w:rPr>
        <w:t xml:space="preserve">En el ejercicio del presupuesto aprobado para la realización de obra pública, las Dependencias y Entidades, adicionalmente a lo dispuesto por la Ley de Obra Pública y Servicios Relacionados con la Misma para el Estado de Michoacán de Ocampo y sus Municipios y su Reglamento, deberán observar la demás normatividad aplicable en la materia y lineamientos específicos del fondo </w:t>
      </w:r>
    </w:p>
    <w:p w14:paraId="5C5861DE" w14:textId="77777777" w:rsidR="00AF664D" w:rsidRPr="00E85C8C" w:rsidRDefault="00AF664D" w:rsidP="00D60720">
      <w:pPr>
        <w:autoSpaceDN w:val="0"/>
        <w:spacing w:line="360" w:lineRule="auto"/>
        <w:ind w:left="360"/>
        <w:jc w:val="both"/>
        <w:rPr>
          <w:rFonts w:ascii="Arial" w:eastAsia="Arial" w:hAnsi="Arial" w:cs="Arial"/>
        </w:rPr>
      </w:pPr>
    </w:p>
    <w:p w14:paraId="20A6023D" w14:textId="6DF053DE" w:rsidR="00AF664D" w:rsidRDefault="00AF664D" w:rsidP="00D60720">
      <w:pPr>
        <w:autoSpaceDN w:val="0"/>
        <w:spacing w:line="360" w:lineRule="auto"/>
        <w:jc w:val="both"/>
        <w:rPr>
          <w:rFonts w:ascii="Arial" w:eastAsia="Arial" w:hAnsi="Arial" w:cs="Arial"/>
        </w:rPr>
      </w:pPr>
      <w:r w:rsidRPr="00E85C8C">
        <w:rPr>
          <w:rFonts w:ascii="Arial" w:eastAsia="Arial" w:hAnsi="Arial" w:cs="Arial"/>
        </w:rPr>
        <w:t>Cualquier obra iniciada o ejecutada sin cumplir con lo establecido anteriormente, será total y absoluta responsabilidad del Titular de la ejecutora del gasto contratante.</w:t>
      </w:r>
    </w:p>
    <w:p w14:paraId="1BB097A2" w14:textId="77777777" w:rsidR="00AF664D" w:rsidRPr="00E85C8C" w:rsidRDefault="00AF664D" w:rsidP="00D60720">
      <w:pPr>
        <w:autoSpaceDN w:val="0"/>
        <w:spacing w:line="360" w:lineRule="auto"/>
        <w:ind w:left="360"/>
        <w:jc w:val="both"/>
        <w:rPr>
          <w:rFonts w:ascii="Arial" w:eastAsia="Arial" w:hAnsi="Arial" w:cs="Arial"/>
        </w:rPr>
      </w:pPr>
    </w:p>
    <w:p w14:paraId="60B5E18A" w14:textId="77777777" w:rsidR="00AF664D" w:rsidRPr="00E85C8C" w:rsidRDefault="00AF664D" w:rsidP="00D60720">
      <w:pPr>
        <w:autoSpaceDN w:val="0"/>
        <w:spacing w:line="360" w:lineRule="auto"/>
        <w:ind w:left="360"/>
        <w:jc w:val="center"/>
        <w:rPr>
          <w:rFonts w:ascii="Arial" w:eastAsia="Arial" w:hAnsi="Arial" w:cs="Arial"/>
          <w:b/>
          <w:bCs/>
        </w:rPr>
      </w:pPr>
      <w:r w:rsidRPr="00E85C8C">
        <w:rPr>
          <w:rFonts w:ascii="Arial" w:eastAsia="Arial" w:hAnsi="Arial" w:cs="Arial"/>
          <w:b/>
          <w:bCs/>
        </w:rPr>
        <w:t>CAPÍTULO VI</w:t>
      </w:r>
    </w:p>
    <w:p w14:paraId="3C9A541C" w14:textId="77777777" w:rsidR="00AF664D" w:rsidRPr="00E85C8C" w:rsidRDefault="00AF664D" w:rsidP="00D60720">
      <w:pPr>
        <w:autoSpaceDN w:val="0"/>
        <w:spacing w:line="360" w:lineRule="auto"/>
        <w:ind w:left="360"/>
        <w:jc w:val="center"/>
        <w:rPr>
          <w:rFonts w:ascii="Arial" w:eastAsia="Arial" w:hAnsi="Arial" w:cs="Arial"/>
          <w:b/>
          <w:bCs/>
        </w:rPr>
      </w:pPr>
      <w:r w:rsidRPr="00E85C8C">
        <w:rPr>
          <w:rFonts w:ascii="Arial" w:eastAsia="Arial" w:hAnsi="Arial" w:cs="Arial"/>
          <w:b/>
          <w:bCs/>
        </w:rPr>
        <w:t>DE LOS INFORMES TRIMESTRALES Y ANUALES</w:t>
      </w:r>
    </w:p>
    <w:p w14:paraId="07997C02" w14:textId="77777777" w:rsidR="00AF664D" w:rsidRPr="00E85C8C" w:rsidRDefault="00AF664D" w:rsidP="00D60720">
      <w:pPr>
        <w:autoSpaceDN w:val="0"/>
        <w:spacing w:line="360" w:lineRule="auto"/>
        <w:ind w:left="360"/>
        <w:rPr>
          <w:rFonts w:ascii="Arial" w:eastAsia="Arial" w:hAnsi="Arial" w:cs="Arial"/>
          <w:b/>
          <w:bCs/>
        </w:rPr>
      </w:pPr>
    </w:p>
    <w:p w14:paraId="2637174B" w14:textId="39E72F36"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62.</w:t>
      </w:r>
      <w:r w:rsidRPr="00E85C8C">
        <w:rPr>
          <w:rFonts w:ascii="Arial" w:eastAsia="Arial" w:hAnsi="Arial" w:cs="Arial"/>
        </w:rPr>
        <w:t xml:space="preserve"> El Ejecutivo Estatal, por conducto de la Secretaría de Finanzas y Administración, informará trimestralmente al Congreso del Estado, dentro de los cuarenta y cinco días siguientes al periodo de que se trate, el avance del ejercicio del gasto público, con base en los registros realizados por las ejecutoras del gasto en el sistema electrónico de control presupuestal, en relación con el presupuesto asignado a las UPP’S, excepto el correspondiente al último trimestre, cuya información quedará comprendida en la Cuenta Pública de la Hacienda Estatal del Ejercicio Fiscal 202</w:t>
      </w:r>
      <w:r w:rsidR="009A7EE2">
        <w:rPr>
          <w:rFonts w:ascii="Arial" w:eastAsia="Arial" w:hAnsi="Arial" w:cs="Arial"/>
        </w:rPr>
        <w:t>6</w:t>
      </w:r>
      <w:r w:rsidRPr="00E85C8C">
        <w:rPr>
          <w:rFonts w:ascii="Arial" w:eastAsia="Arial" w:hAnsi="Arial" w:cs="Arial"/>
        </w:rPr>
        <w:t>.</w:t>
      </w:r>
    </w:p>
    <w:p w14:paraId="2A85656D" w14:textId="77777777" w:rsidR="00AF664D" w:rsidRPr="00E85C8C" w:rsidRDefault="00AF664D" w:rsidP="00D60720">
      <w:pPr>
        <w:autoSpaceDN w:val="0"/>
        <w:spacing w:line="360" w:lineRule="auto"/>
        <w:ind w:left="360"/>
        <w:jc w:val="both"/>
        <w:rPr>
          <w:rFonts w:ascii="Arial" w:eastAsia="Arial" w:hAnsi="Arial" w:cs="Arial"/>
        </w:rPr>
      </w:pPr>
    </w:p>
    <w:p w14:paraId="5A90BD85"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rPr>
        <w:t>A los informes referidos en el párrafo ante</w:t>
      </w:r>
      <w:r>
        <w:rPr>
          <w:rFonts w:ascii="Arial" w:eastAsia="Arial" w:hAnsi="Arial" w:cs="Arial"/>
        </w:rPr>
        <w:t>rior, se adjuntarán los diversos</w:t>
      </w:r>
      <w:r w:rsidRPr="00E85C8C">
        <w:rPr>
          <w:rFonts w:ascii="Arial" w:eastAsia="Arial" w:hAnsi="Arial" w:cs="Arial"/>
        </w:rPr>
        <w:t xml:space="preserve"> que presenten los Poderes Legislativo y Judicial, Entidades y Organismos Autónomos derivados de la consolidación de la información financiera, mismos que deberán estar debidamente rubricados por los funcionarios responsables de la ejecución del gasto.</w:t>
      </w:r>
    </w:p>
    <w:p w14:paraId="7DC3769F" w14:textId="77777777" w:rsidR="00AF664D" w:rsidRDefault="00AF664D" w:rsidP="00D60720">
      <w:pPr>
        <w:autoSpaceDN w:val="0"/>
        <w:spacing w:line="360" w:lineRule="auto"/>
        <w:ind w:left="360"/>
        <w:jc w:val="both"/>
        <w:rPr>
          <w:rFonts w:ascii="Arial" w:eastAsia="Arial" w:hAnsi="Arial" w:cs="Arial"/>
        </w:rPr>
      </w:pPr>
    </w:p>
    <w:p w14:paraId="37CE6452" w14:textId="77777777" w:rsidR="00D60720" w:rsidRPr="00E85C8C" w:rsidRDefault="00D60720" w:rsidP="00D60720">
      <w:pPr>
        <w:autoSpaceDN w:val="0"/>
        <w:spacing w:line="360" w:lineRule="auto"/>
        <w:ind w:left="360"/>
        <w:jc w:val="both"/>
        <w:rPr>
          <w:rFonts w:ascii="Arial" w:eastAsia="Arial" w:hAnsi="Arial" w:cs="Arial"/>
        </w:rPr>
      </w:pPr>
    </w:p>
    <w:p w14:paraId="4EAAB3C3" w14:textId="77777777" w:rsidR="00AF664D" w:rsidRPr="00E85C8C" w:rsidRDefault="00AF664D" w:rsidP="00D60720">
      <w:pPr>
        <w:autoSpaceDN w:val="0"/>
        <w:spacing w:line="360" w:lineRule="auto"/>
        <w:ind w:left="360"/>
        <w:jc w:val="center"/>
        <w:rPr>
          <w:rFonts w:ascii="Arial" w:eastAsia="Arial" w:hAnsi="Arial" w:cs="Arial"/>
          <w:b/>
          <w:bCs/>
        </w:rPr>
      </w:pPr>
      <w:r w:rsidRPr="00E85C8C">
        <w:rPr>
          <w:rFonts w:ascii="Arial" w:eastAsia="Arial" w:hAnsi="Arial" w:cs="Arial"/>
          <w:b/>
          <w:bCs/>
        </w:rPr>
        <w:t>CAPÍTULO VII</w:t>
      </w:r>
    </w:p>
    <w:p w14:paraId="05BF1F61" w14:textId="77777777" w:rsidR="00AF664D" w:rsidRPr="00E85C8C" w:rsidRDefault="00AF664D" w:rsidP="00D60720">
      <w:pPr>
        <w:autoSpaceDN w:val="0"/>
        <w:spacing w:line="360" w:lineRule="auto"/>
        <w:ind w:left="360"/>
        <w:jc w:val="center"/>
        <w:rPr>
          <w:rFonts w:ascii="Arial" w:eastAsia="Arial" w:hAnsi="Arial" w:cs="Arial"/>
          <w:b/>
          <w:bCs/>
        </w:rPr>
      </w:pPr>
      <w:r w:rsidRPr="00E85C8C">
        <w:rPr>
          <w:rFonts w:ascii="Arial" w:eastAsia="Arial" w:hAnsi="Arial" w:cs="Arial"/>
          <w:b/>
          <w:bCs/>
        </w:rPr>
        <w:t>PREVISIÓN DE DESASTRES NATURALES</w:t>
      </w:r>
    </w:p>
    <w:p w14:paraId="1023700F" w14:textId="77777777" w:rsidR="00AF664D" w:rsidRPr="00E85C8C" w:rsidRDefault="00AF664D" w:rsidP="00D60720">
      <w:pPr>
        <w:autoSpaceDN w:val="0"/>
        <w:spacing w:line="360" w:lineRule="auto"/>
        <w:ind w:left="360"/>
        <w:rPr>
          <w:rFonts w:ascii="Arial" w:eastAsia="Arial" w:hAnsi="Arial" w:cs="Arial"/>
          <w:b/>
          <w:bCs/>
        </w:rPr>
      </w:pPr>
    </w:p>
    <w:p w14:paraId="3A8E9C2F"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63.</w:t>
      </w:r>
      <w:r w:rsidRPr="00E85C8C">
        <w:rPr>
          <w:rFonts w:ascii="Arial" w:eastAsia="Arial" w:hAnsi="Arial" w:cs="Arial"/>
        </w:rPr>
        <w:t xml:space="preserve"> En términos de lo establecido por el artículo 9 de la Ley de Disciplina Financiera de las Entidades Federativas y los Municipios, el Estado prevé recursos para atender a la población afectada y los daños causados a la infraestructura pública estatal ocasionados por la ocurrencia de desastres naturales, así como para llevar a cabo acciones para prevenir y mitigar su impacto a las finanzas estatales.</w:t>
      </w:r>
    </w:p>
    <w:p w14:paraId="092D37CD" w14:textId="77777777" w:rsidR="00AF664D" w:rsidRPr="00E85C8C" w:rsidRDefault="00AF664D" w:rsidP="00D60720">
      <w:pPr>
        <w:autoSpaceDN w:val="0"/>
        <w:spacing w:line="360" w:lineRule="auto"/>
        <w:ind w:left="360"/>
        <w:jc w:val="both"/>
        <w:rPr>
          <w:rFonts w:ascii="Arial" w:eastAsia="Arial" w:hAnsi="Arial" w:cs="Arial"/>
        </w:rPr>
      </w:pPr>
    </w:p>
    <w:p w14:paraId="26C25FFB" w14:textId="77777777" w:rsidR="00AF664D" w:rsidRPr="00E85C8C" w:rsidRDefault="00AF664D" w:rsidP="00D60720">
      <w:pPr>
        <w:autoSpaceDN w:val="0"/>
        <w:spacing w:line="360" w:lineRule="auto"/>
        <w:ind w:left="360"/>
        <w:jc w:val="center"/>
        <w:rPr>
          <w:rFonts w:ascii="Arial" w:eastAsia="Arial" w:hAnsi="Arial" w:cs="Arial"/>
          <w:b/>
          <w:bCs/>
        </w:rPr>
      </w:pPr>
      <w:r w:rsidRPr="00E85C8C">
        <w:rPr>
          <w:rFonts w:ascii="Arial" w:eastAsia="Arial" w:hAnsi="Arial" w:cs="Arial"/>
          <w:b/>
          <w:bCs/>
        </w:rPr>
        <w:t>CAPÍTULO VIII</w:t>
      </w:r>
    </w:p>
    <w:p w14:paraId="09E8F5FB" w14:textId="77777777" w:rsidR="00AF664D" w:rsidRPr="00E85C8C" w:rsidRDefault="00AF664D" w:rsidP="00D60720">
      <w:pPr>
        <w:autoSpaceDN w:val="0"/>
        <w:spacing w:line="360" w:lineRule="auto"/>
        <w:ind w:left="360"/>
        <w:jc w:val="center"/>
        <w:rPr>
          <w:rFonts w:ascii="Arial" w:eastAsia="Arial" w:hAnsi="Arial" w:cs="Arial"/>
          <w:b/>
          <w:bCs/>
        </w:rPr>
      </w:pPr>
      <w:r w:rsidRPr="00E85C8C">
        <w:rPr>
          <w:rFonts w:ascii="Arial" w:eastAsia="Arial" w:hAnsi="Arial" w:cs="Arial"/>
          <w:b/>
          <w:bCs/>
        </w:rPr>
        <w:t>DE LOS INGRESOS RECAUDADOS POR LAS DEPENDENCIAS Y ENTIDADES</w:t>
      </w:r>
    </w:p>
    <w:p w14:paraId="493150D6" w14:textId="77777777" w:rsidR="00AF664D" w:rsidRPr="00E85C8C" w:rsidRDefault="00AF664D" w:rsidP="00D60720">
      <w:pPr>
        <w:autoSpaceDN w:val="0"/>
        <w:spacing w:line="360" w:lineRule="auto"/>
        <w:jc w:val="both"/>
        <w:rPr>
          <w:rFonts w:ascii="Arial" w:eastAsia="Arial" w:hAnsi="Arial" w:cs="Arial"/>
        </w:rPr>
      </w:pPr>
    </w:p>
    <w:p w14:paraId="03F6F37E" w14:textId="77777777" w:rsidR="00AF664D" w:rsidRPr="00E85C8C" w:rsidRDefault="00AF664D" w:rsidP="00D60720">
      <w:pPr>
        <w:autoSpaceDN w:val="0"/>
        <w:spacing w:line="360" w:lineRule="auto"/>
        <w:jc w:val="both"/>
        <w:rPr>
          <w:rFonts w:ascii="Arial" w:eastAsia="Arial" w:hAnsi="Arial" w:cs="Arial"/>
        </w:rPr>
      </w:pPr>
      <w:r w:rsidRPr="00E85C8C">
        <w:rPr>
          <w:rFonts w:ascii="Arial" w:eastAsia="Arial" w:hAnsi="Arial" w:cs="Arial"/>
          <w:b/>
          <w:bCs/>
        </w:rPr>
        <w:t>Artículo 64.</w:t>
      </w:r>
      <w:r w:rsidRPr="00E85C8C">
        <w:rPr>
          <w:rFonts w:ascii="Arial" w:eastAsia="Arial" w:hAnsi="Arial" w:cs="Arial"/>
        </w:rPr>
        <w:t xml:space="preserve"> Todos los contratos de apertura de cuentas en instituciones de crédito que celebren las Dependencias, Órganos Desconcentrados, Entidades y Organismos Autónomos, deberán firmarse por el Titular de la Secretaría de Finanzas y Administración o por quien éste designe para tal efecto y deberán de reportar a dicha Secretaría, los ingresos que se contengan en las mismas de manera bimestral.</w:t>
      </w:r>
    </w:p>
    <w:p w14:paraId="33E7E2C5" w14:textId="77777777" w:rsidR="00AF664D" w:rsidRPr="00E85C8C" w:rsidRDefault="00AF664D" w:rsidP="00D60720">
      <w:pPr>
        <w:autoSpaceDN w:val="0"/>
        <w:spacing w:line="360" w:lineRule="auto"/>
        <w:jc w:val="both"/>
        <w:rPr>
          <w:rFonts w:ascii="Arial" w:eastAsia="Arial" w:hAnsi="Arial" w:cs="Arial"/>
        </w:rPr>
      </w:pPr>
    </w:p>
    <w:p w14:paraId="61F369AB" w14:textId="77777777" w:rsidR="00AF664D" w:rsidRPr="00E85C8C" w:rsidRDefault="00AF664D" w:rsidP="00D60720">
      <w:pPr>
        <w:spacing w:line="360" w:lineRule="auto"/>
        <w:jc w:val="both"/>
        <w:rPr>
          <w:rFonts w:ascii="Arial" w:hAnsi="Arial" w:cs="Arial"/>
        </w:rPr>
      </w:pPr>
      <w:r w:rsidRPr="00E85C8C">
        <w:rPr>
          <w:rFonts w:ascii="Arial" w:eastAsia="Arial" w:hAnsi="Arial" w:cs="Arial"/>
        </w:rPr>
        <w:t xml:space="preserve">Incurrirán en responsabilidad administrativa los servidores públicos que celebren dichos contratos sin cumplir con el requisito a que se refiere el párrafo anterior, y en su caso, serán sancionados por la autoridad competente con multa equivalente hasta 2000 UMA’s, lo anterior con independencia de que existan </w:t>
      </w:r>
      <w:r w:rsidRPr="00E85C8C">
        <w:rPr>
          <w:rFonts w:ascii="Arial" w:hAnsi="Arial" w:cs="Arial"/>
        </w:rPr>
        <w:t>otras conductas sancionables de conformidad a lo establecido por la Ley de Responsabilidades Administrativas para el Estado de Michoacán de Ocampo.</w:t>
      </w:r>
    </w:p>
    <w:p w14:paraId="5229B79C" w14:textId="77777777" w:rsidR="00AF664D" w:rsidRPr="00E85C8C" w:rsidRDefault="00AF664D" w:rsidP="00D60720">
      <w:pPr>
        <w:spacing w:line="360" w:lineRule="auto"/>
        <w:jc w:val="both"/>
        <w:rPr>
          <w:rFonts w:ascii="Arial" w:eastAsia="Arial" w:hAnsi="Arial" w:cs="Arial"/>
          <w:b/>
        </w:rPr>
      </w:pPr>
    </w:p>
    <w:p w14:paraId="2575CA7E"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Artículo 65.</w:t>
      </w:r>
      <w:r w:rsidRPr="00E85C8C">
        <w:rPr>
          <w:rFonts w:ascii="Arial" w:eastAsia="Arial" w:hAnsi="Arial" w:cs="Arial"/>
        </w:rPr>
        <w:t xml:space="preserve"> Las Dependencias y Entidades deberán informar mensualmente a la Secretaría de Finanzas y Administración los ingresos que perciban por venta de bienes, prestación de servicios o cualquier otro que reciban diferente, a los recursos derivados del Presupuesto de Egresos a más tardar el día 5 del mes siguiente al que se trate.</w:t>
      </w:r>
    </w:p>
    <w:p w14:paraId="32E6100D" w14:textId="77777777" w:rsidR="00AF664D" w:rsidRPr="00E85C8C" w:rsidRDefault="00AF664D" w:rsidP="00D60720">
      <w:pPr>
        <w:spacing w:line="360" w:lineRule="auto"/>
        <w:jc w:val="both"/>
        <w:rPr>
          <w:rFonts w:ascii="Arial" w:eastAsia="Arial" w:hAnsi="Arial" w:cs="Arial"/>
        </w:rPr>
      </w:pPr>
    </w:p>
    <w:p w14:paraId="3F02991E"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rPr>
        <w:t>Los servidores públicos que incurran en responsabilidades administrativas derivado del incumplimiento del párrafo anterior serán sancionados por la Secretaría de la Contraloría conforme a la normatividad aplicable.</w:t>
      </w:r>
    </w:p>
    <w:p w14:paraId="0B40C2F8" w14:textId="77777777" w:rsidR="00AF664D" w:rsidRPr="00E85C8C" w:rsidRDefault="00AF664D" w:rsidP="000803AF">
      <w:pPr>
        <w:spacing w:line="360" w:lineRule="auto"/>
        <w:rPr>
          <w:rFonts w:ascii="Arial" w:eastAsia="Arial" w:hAnsi="Arial" w:cs="Arial"/>
          <w:b/>
        </w:rPr>
      </w:pPr>
    </w:p>
    <w:p w14:paraId="4E846116"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CAPÍTULO IX</w:t>
      </w:r>
    </w:p>
    <w:p w14:paraId="478D5D49"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DE LAS EJECUTORAS DEL GASTO</w:t>
      </w:r>
    </w:p>
    <w:p w14:paraId="12784369" w14:textId="77777777" w:rsidR="000803AF" w:rsidRDefault="000803AF" w:rsidP="000803AF">
      <w:pPr>
        <w:spacing w:line="360" w:lineRule="auto"/>
        <w:jc w:val="both"/>
        <w:rPr>
          <w:rFonts w:ascii="Arial" w:eastAsia="Arial" w:hAnsi="Arial" w:cs="Arial"/>
        </w:rPr>
      </w:pPr>
    </w:p>
    <w:p w14:paraId="6B5ECB33" w14:textId="1555AA70" w:rsidR="00AF664D" w:rsidRPr="00E85C8C" w:rsidRDefault="00AF664D" w:rsidP="000803AF">
      <w:pPr>
        <w:spacing w:line="360" w:lineRule="auto"/>
        <w:jc w:val="both"/>
        <w:rPr>
          <w:rFonts w:ascii="Arial" w:hAnsi="Arial" w:cs="Arial"/>
        </w:rPr>
      </w:pPr>
      <w:r w:rsidRPr="00E85C8C">
        <w:rPr>
          <w:rFonts w:ascii="Arial" w:eastAsia="Arial" w:hAnsi="Arial" w:cs="Arial"/>
          <w:b/>
        </w:rPr>
        <w:t xml:space="preserve">Artículo 66. </w:t>
      </w:r>
      <w:r w:rsidRPr="00E85C8C">
        <w:rPr>
          <w:rFonts w:ascii="Arial" w:eastAsia="Arial" w:hAnsi="Arial" w:cs="Arial"/>
        </w:rPr>
        <w:t>Los Entes con autonomía presupuestaria deberán realizar los cargos al Presupuesto de Egresos, a través de los gastos efectivamente devengados en el ejercicio fiscal y registrados en los sistemas contables correspondientes sujetándose a sus presupuestos autorizados, observando para ello lo siguiente:</w:t>
      </w:r>
    </w:p>
    <w:p w14:paraId="2EA662C2" w14:textId="77777777" w:rsidR="00AF664D" w:rsidRPr="00E85C8C" w:rsidRDefault="00AF664D" w:rsidP="00D60720">
      <w:pPr>
        <w:spacing w:line="360" w:lineRule="auto"/>
        <w:jc w:val="both"/>
        <w:rPr>
          <w:rFonts w:ascii="Arial" w:eastAsia="Arial" w:hAnsi="Arial" w:cs="Arial"/>
        </w:rPr>
      </w:pPr>
    </w:p>
    <w:p w14:paraId="40277070" w14:textId="77777777" w:rsidR="00AF664D" w:rsidRPr="00E85C8C" w:rsidRDefault="00AF664D" w:rsidP="00D60720">
      <w:pPr>
        <w:numPr>
          <w:ilvl w:val="0"/>
          <w:numId w:val="46"/>
        </w:numPr>
        <w:autoSpaceDN w:val="0"/>
        <w:spacing w:line="360" w:lineRule="auto"/>
        <w:jc w:val="both"/>
        <w:rPr>
          <w:rFonts w:ascii="Arial" w:eastAsia="Arial" w:hAnsi="Arial" w:cs="Arial"/>
        </w:rPr>
      </w:pPr>
      <w:r w:rsidRPr="00E85C8C">
        <w:rPr>
          <w:rFonts w:ascii="Arial" w:eastAsia="Arial" w:hAnsi="Arial" w:cs="Arial"/>
        </w:rPr>
        <w:t xml:space="preserve">Los pagos con cargo al Presupuesto de Egresos se realizarán por las Dependencias y Entidades a través de la Secretaría de Finanzas y Administración; </w:t>
      </w:r>
    </w:p>
    <w:p w14:paraId="441148DC" w14:textId="77777777" w:rsidR="00AF664D" w:rsidRPr="00E85C8C" w:rsidRDefault="00AF664D" w:rsidP="00D60720">
      <w:pPr>
        <w:autoSpaceDN w:val="0"/>
        <w:spacing w:line="360" w:lineRule="auto"/>
        <w:jc w:val="both"/>
        <w:rPr>
          <w:rFonts w:ascii="Arial" w:eastAsia="Arial" w:hAnsi="Arial" w:cs="Arial"/>
        </w:rPr>
      </w:pPr>
    </w:p>
    <w:p w14:paraId="66250765" w14:textId="77777777" w:rsidR="00AF664D" w:rsidRPr="00E85C8C" w:rsidRDefault="00AF664D" w:rsidP="00D60720">
      <w:pPr>
        <w:numPr>
          <w:ilvl w:val="0"/>
          <w:numId w:val="46"/>
        </w:numPr>
        <w:autoSpaceDN w:val="0"/>
        <w:spacing w:line="360" w:lineRule="auto"/>
        <w:jc w:val="both"/>
        <w:rPr>
          <w:rFonts w:ascii="Arial" w:eastAsia="Arial" w:hAnsi="Arial" w:cs="Arial"/>
        </w:rPr>
      </w:pPr>
      <w:r w:rsidRPr="00E85C8C">
        <w:rPr>
          <w:rFonts w:ascii="Arial" w:eastAsia="Arial" w:hAnsi="Arial" w:cs="Arial"/>
        </w:rPr>
        <w:t>Los pagos que realicen los Entes con autonomía presupuestaria se efectuarán por conducto de sus propias tesorerías, llevando los registros presupuestarios correspondientes en sus respectivos sistemas y flujos de efectivo; y,</w:t>
      </w:r>
    </w:p>
    <w:p w14:paraId="3599A7FA" w14:textId="77777777" w:rsidR="00AF664D" w:rsidRPr="00E85C8C" w:rsidRDefault="00AF664D" w:rsidP="00D60720">
      <w:pPr>
        <w:pStyle w:val="Prrafodelista"/>
        <w:spacing w:line="360" w:lineRule="auto"/>
        <w:rPr>
          <w:rFonts w:ascii="Arial" w:eastAsia="Arial" w:hAnsi="Arial" w:cs="Arial"/>
        </w:rPr>
      </w:pPr>
    </w:p>
    <w:p w14:paraId="62CDE614" w14:textId="77777777" w:rsidR="00AF664D" w:rsidRPr="00E85C8C" w:rsidRDefault="00AF664D" w:rsidP="00D60720">
      <w:pPr>
        <w:numPr>
          <w:ilvl w:val="0"/>
          <w:numId w:val="46"/>
        </w:numPr>
        <w:autoSpaceDN w:val="0"/>
        <w:spacing w:line="360" w:lineRule="auto"/>
        <w:jc w:val="both"/>
        <w:rPr>
          <w:rFonts w:ascii="Arial" w:eastAsia="Arial" w:hAnsi="Arial" w:cs="Arial"/>
        </w:rPr>
      </w:pPr>
      <w:r w:rsidRPr="00E85C8C">
        <w:rPr>
          <w:rFonts w:ascii="Arial" w:eastAsia="Arial" w:hAnsi="Arial" w:cs="Arial"/>
        </w:rPr>
        <w:t>Se responsabilizarán de la veracidad, autenticidad, certeza, calidad y congruencia de la información que remitan a la Secretaría de Finanzas y Administración.</w:t>
      </w:r>
    </w:p>
    <w:p w14:paraId="2ABED9E1" w14:textId="77777777" w:rsidR="000803AF" w:rsidRDefault="000803AF" w:rsidP="000803AF">
      <w:pPr>
        <w:autoSpaceDN w:val="0"/>
        <w:spacing w:line="360" w:lineRule="auto"/>
        <w:jc w:val="both"/>
        <w:rPr>
          <w:rFonts w:ascii="Arial" w:eastAsia="Arial" w:hAnsi="Arial" w:cs="Arial"/>
        </w:rPr>
      </w:pPr>
    </w:p>
    <w:p w14:paraId="7D3AC90D" w14:textId="77777777" w:rsidR="00AF664D" w:rsidRPr="00E85C8C" w:rsidRDefault="00AF664D" w:rsidP="000803AF">
      <w:pPr>
        <w:autoSpaceDN w:val="0"/>
        <w:spacing w:line="360" w:lineRule="auto"/>
        <w:jc w:val="both"/>
        <w:rPr>
          <w:rFonts w:ascii="Arial" w:eastAsia="Arial" w:hAnsi="Arial" w:cs="Arial"/>
        </w:rPr>
      </w:pPr>
      <w:r w:rsidRPr="00E85C8C">
        <w:rPr>
          <w:rFonts w:ascii="Arial" w:eastAsia="Arial" w:hAnsi="Arial" w:cs="Arial"/>
          <w:b/>
          <w:bCs/>
        </w:rPr>
        <w:t>Artículo 67.</w:t>
      </w:r>
      <w:r w:rsidRPr="00E85C8C">
        <w:rPr>
          <w:rFonts w:ascii="Arial" w:eastAsia="Arial" w:hAnsi="Arial" w:cs="Arial"/>
        </w:rPr>
        <w:t xml:space="preserve"> Los Entes con autonomía presupuestaria, al momento de realizar las afectaciones al gasto y ejercicio de los recursos deberán observarán que las mismas se realicen en apego a lo siguiente:</w:t>
      </w:r>
    </w:p>
    <w:p w14:paraId="533FF381" w14:textId="77777777" w:rsidR="00AF664D" w:rsidRPr="00E85C8C" w:rsidRDefault="00AF664D" w:rsidP="00D60720">
      <w:pPr>
        <w:autoSpaceDN w:val="0"/>
        <w:spacing w:line="360" w:lineRule="auto"/>
        <w:jc w:val="both"/>
        <w:rPr>
          <w:rFonts w:ascii="Arial" w:eastAsia="Arial" w:hAnsi="Arial" w:cs="Arial"/>
        </w:rPr>
      </w:pPr>
    </w:p>
    <w:p w14:paraId="576D7866" w14:textId="77777777" w:rsidR="00AF664D" w:rsidRPr="00E85C8C" w:rsidRDefault="00AF664D" w:rsidP="00D60720">
      <w:pPr>
        <w:pStyle w:val="Prrafodelista"/>
        <w:numPr>
          <w:ilvl w:val="0"/>
          <w:numId w:val="47"/>
        </w:numPr>
        <w:suppressAutoHyphens/>
        <w:autoSpaceDN w:val="0"/>
        <w:spacing w:line="360" w:lineRule="auto"/>
        <w:contextualSpacing w:val="0"/>
        <w:jc w:val="both"/>
        <w:rPr>
          <w:rFonts w:ascii="Arial" w:eastAsia="Arial" w:hAnsi="Arial" w:cs="Arial"/>
        </w:rPr>
      </w:pPr>
      <w:r w:rsidRPr="00E85C8C">
        <w:rPr>
          <w:rFonts w:ascii="Arial" w:eastAsia="Arial" w:hAnsi="Arial" w:cs="Arial"/>
        </w:rPr>
        <w:t>Deberán constreñirse a los capítulos, conceptos y partidas del clasificador por objeto del gasto autorizado;</w:t>
      </w:r>
    </w:p>
    <w:p w14:paraId="1DB0C769" w14:textId="77777777" w:rsidR="00AF664D" w:rsidRPr="00E85C8C" w:rsidRDefault="00AF664D" w:rsidP="00D60720">
      <w:pPr>
        <w:pStyle w:val="Prrafodelista"/>
        <w:spacing w:line="360" w:lineRule="auto"/>
        <w:ind w:left="1060"/>
        <w:jc w:val="both"/>
        <w:rPr>
          <w:rFonts w:ascii="Arial" w:eastAsia="Arial" w:hAnsi="Arial" w:cs="Arial"/>
        </w:rPr>
      </w:pPr>
    </w:p>
    <w:p w14:paraId="21DEBF45" w14:textId="77777777" w:rsidR="00AF664D" w:rsidRPr="00E85C8C" w:rsidRDefault="00AF664D" w:rsidP="00D60720">
      <w:pPr>
        <w:pStyle w:val="Prrafodelista"/>
        <w:numPr>
          <w:ilvl w:val="0"/>
          <w:numId w:val="47"/>
        </w:numPr>
        <w:suppressAutoHyphens/>
        <w:autoSpaceDN w:val="0"/>
        <w:spacing w:line="360" w:lineRule="auto"/>
        <w:contextualSpacing w:val="0"/>
        <w:jc w:val="both"/>
        <w:rPr>
          <w:rFonts w:ascii="Arial" w:eastAsia="Arial" w:hAnsi="Arial" w:cs="Arial"/>
        </w:rPr>
      </w:pPr>
      <w:r w:rsidRPr="00E85C8C">
        <w:rPr>
          <w:rFonts w:ascii="Arial" w:eastAsia="Arial" w:hAnsi="Arial" w:cs="Arial"/>
        </w:rPr>
        <w:t>Observar que se cumpla lo dispuesto en las disposiciones legales aplicables;</w:t>
      </w:r>
    </w:p>
    <w:p w14:paraId="795C6F6A" w14:textId="77777777" w:rsidR="00AF664D" w:rsidRPr="00E85C8C" w:rsidRDefault="00AF664D" w:rsidP="00D60720">
      <w:pPr>
        <w:pStyle w:val="Prrafodelista"/>
        <w:spacing w:line="360" w:lineRule="auto"/>
        <w:rPr>
          <w:rFonts w:ascii="Arial" w:eastAsia="Arial" w:hAnsi="Arial" w:cs="Arial"/>
        </w:rPr>
      </w:pPr>
    </w:p>
    <w:p w14:paraId="6A2B1BEF" w14:textId="77777777" w:rsidR="00AF664D" w:rsidRPr="00E85C8C" w:rsidRDefault="00AF664D" w:rsidP="00D60720">
      <w:pPr>
        <w:pStyle w:val="Prrafodelista"/>
        <w:spacing w:line="360" w:lineRule="auto"/>
        <w:ind w:left="1060"/>
        <w:jc w:val="both"/>
        <w:rPr>
          <w:rFonts w:ascii="Arial" w:eastAsia="Arial" w:hAnsi="Arial" w:cs="Arial"/>
        </w:rPr>
      </w:pPr>
    </w:p>
    <w:p w14:paraId="12DB855B" w14:textId="77777777" w:rsidR="00AF664D" w:rsidRPr="00E85C8C" w:rsidRDefault="00AF664D" w:rsidP="00D60720">
      <w:pPr>
        <w:pStyle w:val="Prrafodelista"/>
        <w:numPr>
          <w:ilvl w:val="0"/>
          <w:numId w:val="47"/>
        </w:numPr>
        <w:suppressAutoHyphens/>
        <w:autoSpaceDN w:val="0"/>
        <w:spacing w:line="360" w:lineRule="auto"/>
        <w:contextualSpacing w:val="0"/>
        <w:jc w:val="both"/>
        <w:rPr>
          <w:rFonts w:ascii="Arial" w:eastAsia="Arial" w:hAnsi="Arial" w:cs="Arial"/>
        </w:rPr>
      </w:pPr>
      <w:r w:rsidRPr="00E85C8C">
        <w:rPr>
          <w:rFonts w:ascii="Arial" w:eastAsia="Arial" w:hAnsi="Arial" w:cs="Arial"/>
        </w:rPr>
        <w:t>Que se realicen de acuerdo con los calendarios de presupuesto autorizados;</w:t>
      </w:r>
    </w:p>
    <w:p w14:paraId="0A97AC42" w14:textId="77777777" w:rsidR="00AF664D" w:rsidRPr="00E85C8C" w:rsidRDefault="00AF664D" w:rsidP="00D60720">
      <w:pPr>
        <w:pStyle w:val="Prrafodelista"/>
        <w:spacing w:line="360" w:lineRule="auto"/>
        <w:ind w:left="1060"/>
        <w:jc w:val="both"/>
        <w:rPr>
          <w:rFonts w:ascii="Arial" w:eastAsia="Arial" w:hAnsi="Arial" w:cs="Arial"/>
        </w:rPr>
      </w:pPr>
    </w:p>
    <w:p w14:paraId="77B81C4A" w14:textId="77777777" w:rsidR="00AF664D" w:rsidRPr="00E85C8C" w:rsidRDefault="00AF664D" w:rsidP="00D60720">
      <w:pPr>
        <w:pStyle w:val="Prrafodelista"/>
        <w:numPr>
          <w:ilvl w:val="0"/>
          <w:numId w:val="47"/>
        </w:numPr>
        <w:suppressAutoHyphens/>
        <w:autoSpaceDN w:val="0"/>
        <w:spacing w:line="360" w:lineRule="auto"/>
        <w:contextualSpacing w:val="0"/>
        <w:jc w:val="both"/>
        <w:rPr>
          <w:rFonts w:ascii="Arial" w:eastAsia="Arial" w:hAnsi="Arial" w:cs="Arial"/>
        </w:rPr>
      </w:pPr>
      <w:r w:rsidRPr="00E85C8C">
        <w:rPr>
          <w:rFonts w:ascii="Arial" w:eastAsia="Arial" w:hAnsi="Arial" w:cs="Arial"/>
        </w:rPr>
        <w:t>Que no impliquen obligaciones anteriores a la fecha en que se suscriban;</w:t>
      </w:r>
    </w:p>
    <w:p w14:paraId="6D224B8D" w14:textId="77777777" w:rsidR="00AF664D" w:rsidRPr="00E85C8C" w:rsidRDefault="00AF664D" w:rsidP="00D60720">
      <w:pPr>
        <w:pStyle w:val="Prrafodelista"/>
        <w:spacing w:line="360" w:lineRule="auto"/>
        <w:rPr>
          <w:rFonts w:ascii="Arial" w:eastAsia="Arial" w:hAnsi="Arial" w:cs="Arial"/>
        </w:rPr>
      </w:pPr>
    </w:p>
    <w:p w14:paraId="57B9460D" w14:textId="77777777" w:rsidR="00AF664D" w:rsidRPr="00E85C8C" w:rsidRDefault="00AF664D" w:rsidP="00D60720">
      <w:pPr>
        <w:pStyle w:val="Prrafodelista"/>
        <w:numPr>
          <w:ilvl w:val="0"/>
          <w:numId w:val="47"/>
        </w:numPr>
        <w:suppressAutoHyphens/>
        <w:autoSpaceDN w:val="0"/>
        <w:spacing w:line="360" w:lineRule="auto"/>
        <w:contextualSpacing w:val="0"/>
        <w:jc w:val="both"/>
        <w:rPr>
          <w:rFonts w:ascii="Arial" w:eastAsia="Arial" w:hAnsi="Arial" w:cs="Arial"/>
        </w:rPr>
      </w:pPr>
      <w:r w:rsidRPr="00E85C8C">
        <w:rPr>
          <w:rFonts w:ascii="Arial" w:eastAsia="Arial" w:hAnsi="Arial" w:cs="Arial"/>
        </w:rPr>
        <w:t>Conservar y resguardar, conforme a las disposiciones aplicables, la documentación original utilizada para el registro de las operaciones contables y presupuestarias;</w:t>
      </w:r>
    </w:p>
    <w:p w14:paraId="79C134DD" w14:textId="77777777" w:rsidR="00AF664D" w:rsidRPr="00E85C8C" w:rsidRDefault="00AF664D" w:rsidP="00D60720">
      <w:pPr>
        <w:pStyle w:val="Prrafodelista"/>
        <w:spacing w:line="360" w:lineRule="auto"/>
        <w:rPr>
          <w:rFonts w:ascii="Arial" w:eastAsia="Arial" w:hAnsi="Arial" w:cs="Arial"/>
        </w:rPr>
      </w:pPr>
    </w:p>
    <w:p w14:paraId="041601D1" w14:textId="77777777" w:rsidR="00AF664D" w:rsidRPr="00E85C8C" w:rsidRDefault="00AF664D" w:rsidP="00D60720">
      <w:pPr>
        <w:numPr>
          <w:ilvl w:val="0"/>
          <w:numId w:val="47"/>
        </w:numPr>
        <w:autoSpaceDN w:val="0"/>
        <w:spacing w:line="360" w:lineRule="auto"/>
        <w:jc w:val="both"/>
        <w:rPr>
          <w:rFonts w:ascii="Arial" w:eastAsia="Arial" w:hAnsi="Arial" w:cs="Arial"/>
        </w:rPr>
      </w:pPr>
      <w:r w:rsidRPr="00E85C8C">
        <w:rPr>
          <w:rFonts w:ascii="Arial" w:eastAsia="Arial" w:hAnsi="Arial" w:cs="Arial"/>
        </w:rPr>
        <w:t>Que correspondan a compromisos efectivamente devengados, con excepción de los anticipos previstos en las disposiciones aplicables; y,</w:t>
      </w:r>
    </w:p>
    <w:p w14:paraId="5B506865" w14:textId="77777777" w:rsidR="00AF664D" w:rsidRPr="00E85C8C" w:rsidRDefault="00AF664D" w:rsidP="00D60720">
      <w:pPr>
        <w:pStyle w:val="Prrafodelista"/>
        <w:spacing w:line="360" w:lineRule="auto"/>
        <w:rPr>
          <w:rFonts w:ascii="Arial" w:eastAsia="Arial" w:hAnsi="Arial" w:cs="Arial"/>
        </w:rPr>
      </w:pPr>
    </w:p>
    <w:p w14:paraId="36C1D0BF" w14:textId="77777777" w:rsidR="00AF664D" w:rsidRPr="00E85C8C" w:rsidRDefault="00AF664D" w:rsidP="00D60720">
      <w:pPr>
        <w:autoSpaceDN w:val="0"/>
        <w:spacing w:line="360" w:lineRule="auto"/>
        <w:ind w:left="1060"/>
        <w:jc w:val="both"/>
        <w:rPr>
          <w:rFonts w:ascii="Arial" w:eastAsia="Arial" w:hAnsi="Arial" w:cs="Arial"/>
        </w:rPr>
      </w:pPr>
    </w:p>
    <w:p w14:paraId="4471F1FF" w14:textId="77777777" w:rsidR="00AF664D" w:rsidRPr="00E85C8C" w:rsidRDefault="00AF664D" w:rsidP="00D60720">
      <w:pPr>
        <w:numPr>
          <w:ilvl w:val="0"/>
          <w:numId w:val="47"/>
        </w:numPr>
        <w:autoSpaceDN w:val="0"/>
        <w:spacing w:line="360" w:lineRule="auto"/>
        <w:jc w:val="both"/>
        <w:rPr>
          <w:rFonts w:ascii="Arial" w:eastAsia="Arial" w:hAnsi="Arial" w:cs="Arial"/>
        </w:rPr>
      </w:pPr>
      <w:r w:rsidRPr="00E85C8C">
        <w:rPr>
          <w:rFonts w:ascii="Arial" w:eastAsia="Arial" w:hAnsi="Arial" w:cs="Arial"/>
        </w:rPr>
        <w:t>Que se efectúen dentro de los límites de los calendarios de presupuesto autorizados y vigencia del mismo.</w:t>
      </w:r>
    </w:p>
    <w:p w14:paraId="625DAFD5" w14:textId="77777777" w:rsidR="00AF664D" w:rsidRDefault="00AF664D" w:rsidP="00D60720">
      <w:pPr>
        <w:spacing w:line="360" w:lineRule="auto"/>
        <w:jc w:val="both"/>
        <w:rPr>
          <w:rFonts w:ascii="Arial" w:eastAsia="Arial" w:hAnsi="Arial" w:cs="Arial"/>
        </w:rPr>
      </w:pPr>
    </w:p>
    <w:p w14:paraId="3F2F634F" w14:textId="77777777" w:rsidR="00AF664D" w:rsidRPr="00E85C8C" w:rsidRDefault="00AF664D" w:rsidP="00D60720">
      <w:pPr>
        <w:spacing w:line="360" w:lineRule="auto"/>
        <w:jc w:val="both"/>
        <w:rPr>
          <w:rFonts w:ascii="Arial" w:eastAsia="Arial" w:hAnsi="Arial" w:cs="Arial"/>
        </w:rPr>
      </w:pPr>
      <w:r w:rsidRPr="00E85C8C">
        <w:rPr>
          <w:rFonts w:ascii="Arial" w:eastAsia="Arial" w:hAnsi="Arial" w:cs="Arial"/>
          <w:b/>
        </w:rPr>
        <w:t xml:space="preserve">Artículo 68. </w:t>
      </w:r>
      <w:r w:rsidRPr="00E85C8C">
        <w:rPr>
          <w:rFonts w:ascii="Arial" w:eastAsia="Arial" w:hAnsi="Arial" w:cs="Arial"/>
        </w:rPr>
        <w:t>Los pagos que se realicen con cargo al Presupuesto de Egresos los Entes con autonomía presupuestaria sólo podrán hacerse efectivos en tanto no prescriba la acción para exigir su pago. La prescripción se regirá conforme a lo previsto en las disposiciones en la materia.</w:t>
      </w:r>
    </w:p>
    <w:p w14:paraId="18019AE1" w14:textId="77777777" w:rsidR="00AF664D" w:rsidRPr="00E85C8C" w:rsidRDefault="00AF664D" w:rsidP="00D60720">
      <w:pPr>
        <w:spacing w:line="360" w:lineRule="auto"/>
        <w:jc w:val="both"/>
        <w:rPr>
          <w:rFonts w:ascii="Arial" w:hAnsi="Arial" w:cs="Arial"/>
        </w:rPr>
      </w:pPr>
    </w:p>
    <w:p w14:paraId="109F60AA"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ARTÍCULOS TRANSITORIOS</w:t>
      </w:r>
    </w:p>
    <w:p w14:paraId="4D4C12B4" w14:textId="77777777" w:rsidR="00AF664D" w:rsidRPr="00E85C8C" w:rsidRDefault="00AF664D" w:rsidP="00D60720">
      <w:pPr>
        <w:spacing w:line="360" w:lineRule="auto"/>
        <w:jc w:val="both"/>
        <w:rPr>
          <w:rFonts w:ascii="Arial" w:eastAsia="Arial" w:hAnsi="Arial" w:cs="Arial"/>
        </w:rPr>
      </w:pPr>
    </w:p>
    <w:p w14:paraId="7A765F06" w14:textId="428BB01E" w:rsidR="00AF664D" w:rsidRPr="00E85C8C" w:rsidRDefault="00AF664D" w:rsidP="00D60720">
      <w:pPr>
        <w:spacing w:line="360" w:lineRule="auto"/>
        <w:jc w:val="both"/>
        <w:rPr>
          <w:rFonts w:ascii="Arial" w:hAnsi="Arial" w:cs="Arial"/>
        </w:rPr>
      </w:pPr>
      <w:r w:rsidRPr="00E85C8C">
        <w:rPr>
          <w:rFonts w:ascii="Arial" w:eastAsia="Arial" w:hAnsi="Arial" w:cs="Arial"/>
          <w:b/>
        </w:rPr>
        <w:t>PRIMERO.</w:t>
      </w:r>
      <w:r w:rsidRPr="00E85C8C">
        <w:rPr>
          <w:rFonts w:ascii="Arial" w:eastAsia="Arial" w:hAnsi="Arial" w:cs="Arial"/>
        </w:rPr>
        <w:t xml:space="preserve"> El presente Decreto entrará en vigor a partir del primero de enero de 202</w:t>
      </w:r>
      <w:r w:rsidR="009A7EE2">
        <w:rPr>
          <w:rFonts w:ascii="Arial" w:eastAsia="Arial" w:hAnsi="Arial" w:cs="Arial"/>
        </w:rPr>
        <w:t>6</w:t>
      </w:r>
      <w:r w:rsidRPr="00E85C8C">
        <w:rPr>
          <w:rFonts w:ascii="Arial" w:eastAsia="Arial" w:hAnsi="Arial" w:cs="Arial"/>
        </w:rPr>
        <w:t>, previa publicación en el Periódico Oficial del Gobierno Constitucional del Estado de Michoacán de Ocampo.</w:t>
      </w:r>
    </w:p>
    <w:p w14:paraId="2A286F01" w14:textId="77777777" w:rsidR="00AF664D" w:rsidRPr="00E85C8C" w:rsidRDefault="00AF664D" w:rsidP="00D60720">
      <w:pPr>
        <w:spacing w:line="360" w:lineRule="auto"/>
        <w:jc w:val="both"/>
        <w:rPr>
          <w:rFonts w:ascii="Arial" w:eastAsia="Arial" w:hAnsi="Arial" w:cs="Arial"/>
          <w:b/>
        </w:rPr>
      </w:pPr>
    </w:p>
    <w:p w14:paraId="6C373CB9" w14:textId="77777777" w:rsidR="00AF664D" w:rsidRPr="00E85C8C" w:rsidRDefault="00AF664D" w:rsidP="00D60720">
      <w:pPr>
        <w:spacing w:line="360" w:lineRule="auto"/>
        <w:jc w:val="both"/>
        <w:rPr>
          <w:rFonts w:ascii="Arial" w:hAnsi="Arial" w:cs="Arial"/>
        </w:rPr>
      </w:pPr>
      <w:r w:rsidRPr="00E85C8C">
        <w:rPr>
          <w:rFonts w:ascii="Arial" w:eastAsia="Arial" w:hAnsi="Arial" w:cs="Arial"/>
          <w:b/>
        </w:rPr>
        <w:t>SEGUNDO.</w:t>
      </w:r>
      <w:r w:rsidRPr="00E85C8C">
        <w:rPr>
          <w:rFonts w:ascii="Arial" w:eastAsia="Arial" w:hAnsi="Arial" w:cs="Arial"/>
        </w:rPr>
        <w:t xml:space="preserve"> Los Poderes Ejecutivo, Legislativo y Judicial del Gobierno del Estado de Michoacán deberán ejercer su presupuesto con estricto respeto a lo previsto por la Ley de una Vida Libre de Violencia para las Mujeres en el Estado de Michoacán de Ocampo.</w:t>
      </w:r>
    </w:p>
    <w:p w14:paraId="1E216A5D" w14:textId="77777777" w:rsidR="00AF664D" w:rsidRPr="00E85C8C" w:rsidRDefault="00AF664D" w:rsidP="00D60720">
      <w:pPr>
        <w:spacing w:line="360" w:lineRule="auto"/>
        <w:jc w:val="both"/>
        <w:rPr>
          <w:rFonts w:ascii="Arial" w:eastAsia="Arial" w:hAnsi="Arial" w:cs="Arial"/>
        </w:rPr>
      </w:pPr>
    </w:p>
    <w:p w14:paraId="02FA2DA8" w14:textId="0C0A0134" w:rsidR="00AF664D" w:rsidRPr="00E85C8C" w:rsidRDefault="00AF664D" w:rsidP="00D60720">
      <w:pPr>
        <w:tabs>
          <w:tab w:val="left" w:pos="567"/>
          <w:tab w:val="left" w:pos="993"/>
          <w:tab w:val="left" w:pos="1276"/>
        </w:tabs>
        <w:spacing w:line="360" w:lineRule="auto"/>
        <w:jc w:val="both"/>
        <w:rPr>
          <w:rFonts w:ascii="Arial" w:eastAsia="Arial" w:hAnsi="Arial" w:cs="Arial"/>
          <w:color w:val="000000"/>
        </w:rPr>
      </w:pPr>
      <w:r w:rsidRPr="00E85C8C">
        <w:rPr>
          <w:rFonts w:ascii="Arial" w:eastAsia="Arial" w:hAnsi="Arial" w:cs="Arial"/>
          <w:b/>
          <w:color w:val="000000"/>
        </w:rPr>
        <w:t>TERCERO.</w:t>
      </w:r>
      <w:r w:rsidRPr="00E85C8C">
        <w:rPr>
          <w:rFonts w:ascii="Arial" w:eastAsia="Arial" w:hAnsi="Arial" w:cs="Arial"/>
          <w:color w:val="000000"/>
        </w:rPr>
        <w:t xml:space="preserve"> Del presupuesto asignado a la “UPP 01 Congreso del Estado”, </w:t>
      </w:r>
      <w:r w:rsidRPr="00A70F55">
        <w:rPr>
          <w:rFonts w:ascii="Arial" w:eastAsia="Arial" w:hAnsi="Arial" w:cs="Arial"/>
          <w:color w:val="000000"/>
        </w:rPr>
        <w:t xml:space="preserve">corresponden a la Auditoría Superior de Michoacán </w:t>
      </w:r>
      <w:r w:rsidRPr="00A70F55">
        <w:rPr>
          <w:rFonts w:ascii="Arial" w:eastAsia="Arial" w:hAnsi="Arial" w:cs="Arial"/>
          <w:b/>
          <w:color w:val="000000"/>
        </w:rPr>
        <w:t>$</w:t>
      </w:r>
      <w:r w:rsidR="00A70F55" w:rsidRPr="00A70F55">
        <w:rPr>
          <w:rFonts w:ascii="Arial" w:eastAsia="Arial" w:hAnsi="Arial" w:cs="Arial"/>
          <w:b/>
          <w:color w:val="000000"/>
        </w:rPr>
        <w:t>300</w:t>
      </w:r>
      <w:r w:rsidRPr="00A70F55">
        <w:rPr>
          <w:rFonts w:ascii="Arial" w:eastAsia="Arial" w:hAnsi="Arial" w:cs="Arial"/>
          <w:b/>
          <w:color w:val="000000"/>
        </w:rPr>
        <w:t>,</w:t>
      </w:r>
      <w:r w:rsidR="00A70F55" w:rsidRPr="00A70F55">
        <w:rPr>
          <w:rFonts w:ascii="Arial" w:eastAsia="Arial" w:hAnsi="Arial" w:cs="Arial"/>
          <w:b/>
          <w:color w:val="000000"/>
        </w:rPr>
        <w:t>937</w:t>
      </w:r>
      <w:r w:rsidRPr="00A70F55">
        <w:rPr>
          <w:rFonts w:ascii="Arial" w:eastAsia="Arial" w:hAnsi="Arial" w:cs="Arial"/>
          <w:b/>
          <w:color w:val="000000"/>
        </w:rPr>
        <w:t>,</w:t>
      </w:r>
      <w:r w:rsidR="00A70F55" w:rsidRPr="00A70F55">
        <w:rPr>
          <w:rFonts w:ascii="Arial" w:eastAsia="Arial" w:hAnsi="Arial" w:cs="Arial"/>
          <w:b/>
          <w:color w:val="000000"/>
        </w:rPr>
        <w:t>730.00</w:t>
      </w:r>
      <w:r w:rsidRPr="00A70F55">
        <w:rPr>
          <w:rFonts w:ascii="Arial" w:eastAsia="Arial" w:hAnsi="Arial" w:cs="Arial"/>
          <w:b/>
          <w:color w:val="000000"/>
        </w:rPr>
        <w:t xml:space="preserve"> (</w:t>
      </w:r>
      <w:r w:rsidR="00A70F55" w:rsidRPr="00A70F55">
        <w:rPr>
          <w:rFonts w:ascii="Arial" w:eastAsia="Arial" w:hAnsi="Arial" w:cs="Arial"/>
          <w:b/>
          <w:color w:val="000000"/>
        </w:rPr>
        <w:t xml:space="preserve">Trescientos </w:t>
      </w:r>
      <w:r w:rsidRPr="00A70F55">
        <w:rPr>
          <w:rFonts w:ascii="Arial" w:eastAsia="Arial" w:hAnsi="Arial" w:cs="Arial"/>
          <w:b/>
          <w:color w:val="000000"/>
        </w:rPr>
        <w:t xml:space="preserve">millones </w:t>
      </w:r>
      <w:r w:rsidR="00A70F55" w:rsidRPr="00A70F55">
        <w:rPr>
          <w:rFonts w:ascii="Arial" w:eastAsia="Arial" w:hAnsi="Arial" w:cs="Arial"/>
          <w:b/>
          <w:color w:val="000000"/>
        </w:rPr>
        <w:t xml:space="preserve">novecientos treinta y siete </w:t>
      </w:r>
      <w:r w:rsidRPr="00A70F55">
        <w:rPr>
          <w:rFonts w:ascii="Arial" w:eastAsia="Arial" w:hAnsi="Arial" w:cs="Arial"/>
          <w:b/>
          <w:color w:val="000000"/>
        </w:rPr>
        <w:t xml:space="preserve">mil </w:t>
      </w:r>
      <w:r w:rsidR="00A70F55" w:rsidRPr="00A70F55">
        <w:rPr>
          <w:rFonts w:ascii="Arial" w:eastAsia="Arial" w:hAnsi="Arial" w:cs="Arial"/>
          <w:b/>
          <w:color w:val="000000"/>
        </w:rPr>
        <w:t>setecientos treinta</w:t>
      </w:r>
      <w:r w:rsidRPr="00A70F55">
        <w:rPr>
          <w:rFonts w:ascii="Arial" w:eastAsia="Arial" w:hAnsi="Arial" w:cs="Arial"/>
          <w:b/>
          <w:color w:val="000000"/>
        </w:rPr>
        <w:t xml:space="preserve"> pesos 00/100 M.N.)</w:t>
      </w:r>
      <w:r w:rsidRPr="00A70F55">
        <w:rPr>
          <w:rFonts w:ascii="Arial" w:eastAsia="Arial" w:hAnsi="Arial" w:cs="Arial"/>
          <w:color w:val="000000"/>
        </w:rPr>
        <w:t>, conforme</w:t>
      </w:r>
      <w:r w:rsidRPr="00E85C8C">
        <w:rPr>
          <w:rFonts w:ascii="Arial" w:eastAsia="Arial" w:hAnsi="Arial" w:cs="Arial"/>
          <w:color w:val="000000"/>
        </w:rPr>
        <w:t xml:space="preserve"> a lo establecido en el primer párrafo del artículo 2 de la Ley de Fiscalización Superior y Rendición de Cuentas del Estado de Michoacán de Ocampo.</w:t>
      </w:r>
    </w:p>
    <w:p w14:paraId="41EE5B56" w14:textId="77777777" w:rsidR="00AF664D" w:rsidRDefault="00AF664D" w:rsidP="00D60720">
      <w:pPr>
        <w:tabs>
          <w:tab w:val="left" w:pos="567"/>
          <w:tab w:val="left" w:pos="993"/>
          <w:tab w:val="left" w:pos="1276"/>
        </w:tabs>
        <w:spacing w:line="360" w:lineRule="auto"/>
        <w:jc w:val="both"/>
        <w:rPr>
          <w:rFonts w:ascii="Arial" w:eastAsia="Arial" w:hAnsi="Arial" w:cs="Arial"/>
          <w:color w:val="000000"/>
        </w:rPr>
      </w:pPr>
    </w:p>
    <w:p w14:paraId="76B95232" w14:textId="77777777" w:rsidR="000803AF" w:rsidRDefault="000803AF" w:rsidP="00D60720">
      <w:pPr>
        <w:tabs>
          <w:tab w:val="left" w:pos="567"/>
          <w:tab w:val="left" w:pos="993"/>
          <w:tab w:val="left" w:pos="1276"/>
        </w:tabs>
        <w:spacing w:line="360" w:lineRule="auto"/>
        <w:jc w:val="both"/>
        <w:rPr>
          <w:rFonts w:ascii="Arial" w:eastAsia="Arial" w:hAnsi="Arial" w:cs="Arial"/>
          <w:color w:val="000000"/>
        </w:rPr>
      </w:pPr>
    </w:p>
    <w:p w14:paraId="3E93309D" w14:textId="77777777" w:rsidR="000803AF" w:rsidRPr="00E85C8C" w:rsidRDefault="000803AF" w:rsidP="00D60720">
      <w:pPr>
        <w:tabs>
          <w:tab w:val="left" w:pos="567"/>
          <w:tab w:val="left" w:pos="993"/>
          <w:tab w:val="left" w:pos="1276"/>
        </w:tabs>
        <w:spacing w:line="360" w:lineRule="auto"/>
        <w:jc w:val="both"/>
        <w:rPr>
          <w:rFonts w:ascii="Arial" w:eastAsia="Arial" w:hAnsi="Arial" w:cs="Arial"/>
          <w:color w:val="000000"/>
        </w:rPr>
      </w:pPr>
    </w:p>
    <w:p w14:paraId="7032D692" w14:textId="4219A10E" w:rsidR="00AF664D" w:rsidRPr="00E85C8C" w:rsidRDefault="009A7EE2" w:rsidP="00D60720">
      <w:pPr>
        <w:spacing w:line="360" w:lineRule="auto"/>
        <w:jc w:val="both"/>
        <w:rPr>
          <w:rFonts w:ascii="Arial" w:eastAsia="Arial" w:hAnsi="Arial" w:cs="Arial"/>
        </w:rPr>
      </w:pPr>
      <w:r>
        <w:rPr>
          <w:rFonts w:ascii="Arial" w:eastAsia="Arial" w:hAnsi="Arial" w:cs="Arial"/>
          <w:b/>
        </w:rPr>
        <w:t>CUARTO</w:t>
      </w:r>
      <w:r w:rsidR="00AF664D" w:rsidRPr="00E85C8C">
        <w:rPr>
          <w:rFonts w:ascii="Arial" w:eastAsia="Arial" w:hAnsi="Arial" w:cs="Arial"/>
          <w:b/>
        </w:rPr>
        <w:t xml:space="preserve">. </w:t>
      </w:r>
      <w:r w:rsidR="00AF664D" w:rsidRPr="00E85C8C">
        <w:rPr>
          <w:rFonts w:ascii="Arial" w:eastAsia="Arial" w:hAnsi="Arial" w:cs="Arial"/>
        </w:rPr>
        <w:t>Queda sin efecto toda aquella disposición administrativa que contraveng</w:t>
      </w:r>
      <w:r w:rsidR="002375C3">
        <w:rPr>
          <w:rFonts w:ascii="Arial" w:eastAsia="Arial" w:hAnsi="Arial" w:cs="Arial"/>
        </w:rPr>
        <w:t>a a lo señalado en el presente D</w:t>
      </w:r>
      <w:bookmarkStart w:id="2" w:name="_GoBack"/>
      <w:bookmarkEnd w:id="2"/>
      <w:r w:rsidR="00AF664D" w:rsidRPr="00E85C8C">
        <w:rPr>
          <w:rFonts w:ascii="Arial" w:eastAsia="Arial" w:hAnsi="Arial" w:cs="Arial"/>
        </w:rPr>
        <w:t>ecreto.</w:t>
      </w:r>
    </w:p>
    <w:p w14:paraId="695E8131" w14:textId="77777777" w:rsidR="00AF664D" w:rsidRPr="00E85C8C" w:rsidRDefault="00AF664D" w:rsidP="00D60720">
      <w:pPr>
        <w:spacing w:line="360" w:lineRule="auto"/>
        <w:jc w:val="both"/>
        <w:rPr>
          <w:rFonts w:ascii="Arial" w:hAnsi="Arial" w:cs="Arial"/>
        </w:rPr>
      </w:pPr>
    </w:p>
    <w:p w14:paraId="698F3334" w14:textId="089917C0" w:rsidR="00AF664D" w:rsidRPr="00E85C8C" w:rsidRDefault="00AF664D" w:rsidP="00D60720">
      <w:pPr>
        <w:spacing w:line="360" w:lineRule="auto"/>
        <w:jc w:val="right"/>
        <w:rPr>
          <w:rFonts w:ascii="Arial" w:eastAsia="Arial" w:hAnsi="Arial" w:cs="Arial"/>
        </w:rPr>
      </w:pPr>
      <w:r w:rsidRPr="00E85C8C">
        <w:rPr>
          <w:rFonts w:ascii="Arial" w:eastAsia="Arial" w:hAnsi="Arial" w:cs="Arial"/>
        </w:rPr>
        <w:t>Morelia, Michoacán de Ocampo, a 21 de noviembre de 202</w:t>
      </w:r>
      <w:r w:rsidR="009A7EE2">
        <w:rPr>
          <w:rFonts w:ascii="Arial" w:eastAsia="Arial" w:hAnsi="Arial" w:cs="Arial"/>
        </w:rPr>
        <w:t>5</w:t>
      </w:r>
      <w:r w:rsidRPr="00E85C8C">
        <w:rPr>
          <w:rFonts w:ascii="Arial" w:eastAsia="Arial" w:hAnsi="Arial" w:cs="Arial"/>
        </w:rPr>
        <w:t>.</w:t>
      </w:r>
    </w:p>
    <w:p w14:paraId="35AC3C24" w14:textId="77777777" w:rsidR="00AF664D" w:rsidRPr="00E85C8C" w:rsidRDefault="00AF664D" w:rsidP="00D60720">
      <w:pPr>
        <w:spacing w:line="360" w:lineRule="auto"/>
        <w:jc w:val="both"/>
        <w:rPr>
          <w:rFonts w:ascii="Arial" w:eastAsia="Arial" w:hAnsi="Arial" w:cs="Arial"/>
        </w:rPr>
      </w:pPr>
    </w:p>
    <w:p w14:paraId="2B8BFA49"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ATENTAMENTE</w:t>
      </w:r>
    </w:p>
    <w:p w14:paraId="340D87C1" w14:textId="77777777" w:rsidR="00AF664D" w:rsidRPr="00E85C8C" w:rsidRDefault="00AF664D" w:rsidP="00D60720">
      <w:pPr>
        <w:spacing w:line="360" w:lineRule="auto"/>
        <w:jc w:val="both"/>
        <w:rPr>
          <w:rFonts w:ascii="Arial" w:eastAsia="Arial" w:hAnsi="Arial" w:cs="Arial"/>
        </w:rPr>
      </w:pPr>
    </w:p>
    <w:p w14:paraId="061DCAAA" w14:textId="77777777" w:rsidR="00AF664D" w:rsidRPr="00E85C8C" w:rsidRDefault="00AF664D" w:rsidP="00D60720">
      <w:pPr>
        <w:spacing w:line="360" w:lineRule="auto"/>
        <w:jc w:val="both"/>
        <w:rPr>
          <w:rFonts w:ascii="Arial" w:eastAsia="Arial" w:hAnsi="Arial" w:cs="Arial"/>
        </w:rPr>
      </w:pPr>
    </w:p>
    <w:p w14:paraId="3FF47D2D" w14:textId="77777777" w:rsidR="00AF664D" w:rsidRPr="00E85C8C" w:rsidRDefault="00AF664D" w:rsidP="00D60720">
      <w:pPr>
        <w:spacing w:line="360" w:lineRule="auto"/>
        <w:jc w:val="both"/>
        <w:rPr>
          <w:rFonts w:ascii="Arial" w:eastAsia="Arial" w:hAnsi="Arial" w:cs="Arial"/>
        </w:rPr>
      </w:pPr>
    </w:p>
    <w:p w14:paraId="217301A3" w14:textId="77777777" w:rsidR="00AF664D" w:rsidRPr="00E85C8C" w:rsidRDefault="00AF664D" w:rsidP="00D60720">
      <w:pPr>
        <w:spacing w:line="360" w:lineRule="auto"/>
        <w:jc w:val="center"/>
        <w:rPr>
          <w:rFonts w:ascii="Arial" w:eastAsia="Arial" w:hAnsi="Arial" w:cs="Arial"/>
          <w:b/>
        </w:rPr>
      </w:pPr>
      <w:r w:rsidRPr="00E85C8C">
        <w:rPr>
          <w:rFonts w:ascii="Arial" w:eastAsia="Arial" w:hAnsi="Arial" w:cs="Arial"/>
          <w:b/>
        </w:rPr>
        <w:t>ALFREDO RAMÍREZ BEDOLLA</w:t>
      </w:r>
    </w:p>
    <w:p w14:paraId="54129F55" w14:textId="77777777" w:rsidR="00AF664D" w:rsidRPr="00E85C8C" w:rsidRDefault="00AF664D" w:rsidP="00D60720">
      <w:pPr>
        <w:spacing w:line="360" w:lineRule="auto"/>
        <w:jc w:val="center"/>
        <w:rPr>
          <w:rFonts w:ascii="Arial" w:eastAsia="Arial" w:hAnsi="Arial" w:cs="Arial"/>
        </w:rPr>
      </w:pPr>
      <w:r w:rsidRPr="00E85C8C">
        <w:rPr>
          <w:rFonts w:ascii="Arial" w:eastAsia="Arial" w:hAnsi="Arial" w:cs="Arial"/>
        </w:rPr>
        <w:t>GOBERNADOR CONSTITUCIONAL DEL ESTADO</w:t>
      </w:r>
    </w:p>
    <w:p w14:paraId="697766E7" w14:textId="77777777" w:rsidR="00AF664D" w:rsidRPr="00E85C8C" w:rsidRDefault="00AF664D" w:rsidP="00D60720">
      <w:pPr>
        <w:spacing w:line="360" w:lineRule="auto"/>
        <w:jc w:val="center"/>
        <w:rPr>
          <w:rFonts w:ascii="Arial" w:eastAsia="Arial" w:hAnsi="Arial" w:cs="Arial"/>
        </w:rPr>
      </w:pPr>
    </w:p>
    <w:p w14:paraId="24B3A2C2" w14:textId="77777777" w:rsidR="00AF664D" w:rsidRPr="00E85C8C" w:rsidRDefault="00AF664D" w:rsidP="00D60720">
      <w:pPr>
        <w:spacing w:line="360" w:lineRule="auto"/>
        <w:rPr>
          <w:rFonts w:ascii="Arial" w:hAnsi="Arial" w:cs="Arial"/>
        </w:rPr>
      </w:pPr>
    </w:p>
    <w:p w14:paraId="1A77A31A" w14:textId="77777777" w:rsidR="00AF664D" w:rsidRPr="00E85C8C" w:rsidRDefault="00AF664D" w:rsidP="00D60720">
      <w:pPr>
        <w:spacing w:line="360" w:lineRule="auto"/>
        <w:rPr>
          <w:rFonts w:ascii="Arial" w:hAnsi="Arial" w:cs="Arial"/>
        </w:rPr>
      </w:pPr>
    </w:p>
    <w:p w14:paraId="7AB8DFE1" w14:textId="7E47AAD7" w:rsidR="00AF664D" w:rsidRPr="00E85C8C" w:rsidRDefault="00777DB0" w:rsidP="00D60720">
      <w:pPr>
        <w:spacing w:line="360" w:lineRule="auto"/>
        <w:jc w:val="center"/>
        <w:rPr>
          <w:rFonts w:ascii="Arial" w:hAnsi="Arial" w:cs="Arial"/>
          <w:b/>
        </w:rPr>
      </w:pPr>
      <w:r>
        <w:rPr>
          <w:rFonts w:ascii="Arial" w:hAnsi="Arial" w:cs="Arial"/>
          <w:b/>
        </w:rPr>
        <w:t>RAÚL ZEPEDA VILLASEÑOR</w:t>
      </w:r>
    </w:p>
    <w:p w14:paraId="2171A6DD" w14:textId="77777777" w:rsidR="00AF664D" w:rsidRPr="00E85C8C" w:rsidRDefault="00AF664D" w:rsidP="00D60720">
      <w:pPr>
        <w:spacing w:line="360" w:lineRule="auto"/>
        <w:jc w:val="center"/>
        <w:rPr>
          <w:rFonts w:ascii="Arial" w:hAnsi="Arial" w:cs="Arial"/>
        </w:rPr>
      </w:pPr>
      <w:r w:rsidRPr="00E85C8C">
        <w:rPr>
          <w:rFonts w:ascii="Arial" w:hAnsi="Arial" w:cs="Arial"/>
          <w:b/>
        </w:rPr>
        <w:t xml:space="preserve"> </w:t>
      </w:r>
      <w:r w:rsidRPr="00E85C8C">
        <w:rPr>
          <w:rFonts w:ascii="Arial" w:hAnsi="Arial" w:cs="Arial"/>
        </w:rPr>
        <w:t>SECRETARIO DE GOBIERNO</w:t>
      </w:r>
    </w:p>
    <w:p w14:paraId="201B23F6" w14:textId="77777777" w:rsidR="00AF664D" w:rsidRPr="00E85C8C" w:rsidRDefault="00AF664D" w:rsidP="00D60720">
      <w:pPr>
        <w:spacing w:line="360" w:lineRule="auto"/>
        <w:rPr>
          <w:rFonts w:ascii="Arial" w:hAnsi="Arial" w:cs="Arial"/>
        </w:rPr>
      </w:pPr>
    </w:p>
    <w:p w14:paraId="4C3F4645" w14:textId="77777777" w:rsidR="00AF664D" w:rsidRPr="00E85C8C" w:rsidRDefault="00AF664D" w:rsidP="00D60720">
      <w:pPr>
        <w:spacing w:line="360" w:lineRule="auto"/>
        <w:rPr>
          <w:rFonts w:ascii="Arial" w:hAnsi="Arial" w:cs="Arial"/>
        </w:rPr>
      </w:pPr>
    </w:p>
    <w:p w14:paraId="32779DDC" w14:textId="77777777" w:rsidR="00AF664D" w:rsidRPr="00E85C8C" w:rsidRDefault="00AF664D" w:rsidP="00D60720">
      <w:pPr>
        <w:spacing w:line="360" w:lineRule="auto"/>
        <w:rPr>
          <w:rFonts w:ascii="Arial" w:hAnsi="Arial" w:cs="Arial"/>
        </w:rPr>
      </w:pPr>
    </w:p>
    <w:p w14:paraId="31EFBDC4" w14:textId="77777777" w:rsidR="00AF664D" w:rsidRPr="00E85C8C" w:rsidRDefault="00AF664D" w:rsidP="00D60720">
      <w:pPr>
        <w:spacing w:line="360" w:lineRule="auto"/>
        <w:jc w:val="center"/>
        <w:rPr>
          <w:rFonts w:ascii="Arial" w:hAnsi="Arial" w:cs="Arial"/>
          <w:b/>
        </w:rPr>
      </w:pPr>
      <w:r w:rsidRPr="00E85C8C">
        <w:rPr>
          <w:rFonts w:ascii="Arial" w:hAnsi="Arial" w:cs="Arial"/>
          <w:b/>
        </w:rPr>
        <w:t xml:space="preserve">LUIS NAVARRO GARCÍA </w:t>
      </w:r>
    </w:p>
    <w:p w14:paraId="554FCE8F" w14:textId="77777777" w:rsidR="00AF664D" w:rsidRPr="00E85C8C" w:rsidRDefault="00AF664D" w:rsidP="00D60720">
      <w:pPr>
        <w:spacing w:line="360" w:lineRule="auto"/>
        <w:jc w:val="center"/>
        <w:rPr>
          <w:rFonts w:ascii="Arial" w:hAnsi="Arial" w:cs="Arial"/>
        </w:rPr>
      </w:pPr>
      <w:r w:rsidRPr="00E85C8C">
        <w:rPr>
          <w:rFonts w:ascii="Arial" w:hAnsi="Arial" w:cs="Arial"/>
        </w:rPr>
        <w:t>SECRETARIO DE FINANZAS Y ADMINISTRACIÓN</w:t>
      </w:r>
    </w:p>
    <w:p w14:paraId="71B4334A" w14:textId="77777777" w:rsidR="00AF664D" w:rsidRPr="00E85C8C" w:rsidRDefault="00AF664D" w:rsidP="00D60720">
      <w:pPr>
        <w:spacing w:line="360" w:lineRule="auto"/>
        <w:rPr>
          <w:rFonts w:ascii="Arial" w:hAnsi="Arial" w:cs="Arial"/>
        </w:rPr>
      </w:pPr>
    </w:p>
    <w:p w14:paraId="29209AF1" w14:textId="77777777" w:rsidR="00AF664D" w:rsidRDefault="00AF664D" w:rsidP="00D60720">
      <w:pPr>
        <w:spacing w:line="360" w:lineRule="auto"/>
        <w:jc w:val="both"/>
        <w:rPr>
          <w:rFonts w:ascii="Arial" w:eastAsia="Arial" w:hAnsi="Arial" w:cs="Arial"/>
          <w:sz w:val="14"/>
          <w:szCs w:val="14"/>
        </w:rPr>
      </w:pPr>
    </w:p>
    <w:p w14:paraId="62E4C92B" w14:textId="77777777" w:rsidR="00AF664D" w:rsidRDefault="00AF664D" w:rsidP="00D60720">
      <w:pPr>
        <w:spacing w:line="360" w:lineRule="auto"/>
        <w:jc w:val="both"/>
        <w:rPr>
          <w:rFonts w:ascii="Arial" w:eastAsia="Arial" w:hAnsi="Arial" w:cs="Arial"/>
          <w:sz w:val="14"/>
          <w:szCs w:val="14"/>
        </w:rPr>
      </w:pPr>
    </w:p>
    <w:p w14:paraId="7E066A9B" w14:textId="77777777" w:rsidR="00AF664D" w:rsidRDefault="00AF664D" w:rsidP="00D60720">
      <w:pPr>
        <w:spacing w:line="360" w:lineRule="auto"/>
        <w:jc w:val="both"/>
        <w:rPr>
          <w:rFonts w:ascii="Arial" w:eastAsia="Arial" w:hAnsi="Arial" w:cs="Arial"/>
          <w:sz w:val="14"/>
          <w:szCs w:val="14"/>
        </w:rPr>
      </w:pPr>
    </w:p>
    <w:p w14:paraId="5734C367" w14:textId="77777777" w:rsidR="00AF664D" w:rsidRDefault="00AF664D" w:rsidP="00D60720">
      <w:pPr>
        <w:spacing w:line="360" w:lineRule="auto"/>
        <w:jc w:val="both"/>
        <w:rPr>
          <w:rFonts w:ascii="Arial" w:eastAsia="Arial" w:hAnsi="Arial" w:cs="Arial"/>
          <w:sz w:val="14"/>
          <w:szCs w:val="14"/>
        </w:rPr>
      </w:pPr>
    </w:p>
    <w:p w14:paraId="1E393371" w14:textId="77777777" w:rsidR="00AF664D" w:rsidRDefault="00AF664D" w:rsidP="00D60720">
      <w:pPr>
        <w:spacing w:line="360" w:lineRule="auto"/>
        <w:jc w:val="both"/>
        <w:rPr>
          <w:rFonts w:ascii="Arial" w:eastAsia="Arial" w:hAnsi="Arial" w:cs="Arial"/>
          <w:sz w:val="14"/>
          <w:szCs w:val="14"/>
        </w:rPr>
      </w:pPr>
    </w:p>
    <w:p w14:paraId="1377348B" w14:textId="77777777" w:rsidR="00AF664D" w:rsidRDefault="00AF664D" w:rsidP="00D60720">
      <w:pPr>
        <w:spacing w:line="360" w:lineRule="auto"/>
        <w:jc w:val="both"/>
        <w:rPr>
          <w:rFonts w:ascii="Arial" w:eastAsia="Arial" w:hAnsi="Arial" w:cs="Arial"/>
          <w:sz w:val="14"/>
          <w:szCs w:val="14"/>
        </w:rPr>
      </w:pPr>
    </w:p>
    <w:p w14:paraId="5F277EB4" w14:textId="77777777" w:rsidR="00AF664D" w:rsidRDefault="00AF664D" w:rsidP="00D60720">
      <w:pPr>
        <w:spacing w:line="360" w:lineRule="auto"/>
        <w:jc w:val="both"/>
        <w:rPr>
          <w:rFonts w:ascii="Arial" w:eastAsia="Arial" w:hAnsi="Arial" w:cs="Arial"/>
          <w:sz w:val="14"/>
          <w:szCs w:val="14"/>
        </w:rPr>
      </w:pPr>
    </w:p>
    <w:p w14:paraId="0934A0CD" w14:textId="0F02D57D" w:rsidR="00AF664D" w:rsidRPr="00F25EB2" w:rsidRDefault="00AF664D" w:rsidP="00D60720">
      <w:pPr>
        <w:spacing w:line="360" w:lineRule="auto"/>
        <w:jc w:val="both"/>
        <w:rPr>
          <w:rFonts w:ascii="Arial" w:hAnsi="Arial" w:cs="Arial"/>
          <w:sz w:val="14"/>
          <w:szCs w:val="14"/>
        </w:rPr>
      </w:pPr>
      <w:r w:rsidRPr="00F25EB2">
        <w:rPr>
          <w:rFonts w:ascii="Arial" w:eastAsia="Arial" w:hAnsi="Arial" w:cs="Arial"/>
          <w:sz w:val="14"/>
          <w:szCs w:val="14"/>
        </w:rPr>
        <w:t>LA PRESENTE HOJA DE FIRMAS FORMA PARTE DE LA INICIATIVA CON PROYECTO DE DECRETO QUE CONTIENE EL PRESUPUESTO DE EGRESOS DEL GOBIERNO DEL ESTADO DE MICHOACÁN DE OCAMPO PARA EL EJERCICIO FISCAL 202</w:t>
      </w:r>
      <w:r w:rsidR="009A7EE2">
        <w:rPr>
          <w:rFonts w:ascii="Arial" w:eastAsia="Arial" w:hAnsi="Arial" w:cs="Arial"/>
          <w:sz w:val="14"/>
          <w:szCs w:val="14"/>
        </w:rPr>
        <w:t>6</w:t>
      </w:r>
      <w:r w:rsidRPr="00F25EB2">
        <w:rPr>
          <w:rFonts w:ascii="Arial" w:eastAsia="Arial" w:hAnsi="Arial" w:cs="Arial"/>
          <w:sz w:val="14"/>
          <w:szCs w:val="14"/>
        </w:rPr>
        <w:t>.---------------------------------</w:t>
      </w:r>
    </w:p>
    <w:p w14:paraId="6852D332" w14:textId="77777777" w:rsidR="00AF664D" w:rsidRPr="0093626F" w:rsidRDefault="00AF664D" w:rsidP="00D60720">
      <w:pPr>
        <w:spacing w:line="360" w:lineRule="auto"/>
        <w:jc w:val="both"/>
        <w:rPr>
          <w:rFonts w:ascii="Arial" w:hAnsi="Arial" w:cs="Arial"/>
        </w:rPr>
      </w:pPr>
    </w:p>
    <w:sectPr w:rsidR="00AF664D" w:rsidRPr="0093626F" w:rsidSect="00D60720">
      <w:footerReference w:type="default" r:id="rId21"/>
      <w:pgSz w:w="12240" w:h="15840"/>
      <w:pgMar w:top="2835" w:right="1701" w:bottom="1418"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EF4BF1" w14:textId="77777777" w:rsidR="00183DCC" w:rsidRDefault="00183DCC" w:rsidP="004E6C1F">
      <w:r>
        <w:separator/>
      </w:r>
    </w:p>
  </w:endnote>
  <w:endnote w:type="continuationSeparator" w:id="0">
    <w:p w14:paraId="4DD65740" w14:textId="77777777" w:rsidR="00183DCC" w:rsidRDefault="00183DCC" w:rsidP="004E6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Gibson Book">
    <w:altName w:val="Calibri"/>
    <w:panose1 w:val="00000000000000000000"/>
    <w:charset w:val="00"/>
    <w:family w:val="modern"/>
    <w:notTrueType/>
    <w:pitch w:val="variable"/>
    <w:sig w:usb0="80000007" w:usb1="4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7186677"/>
      <w:docPartObj>
        <w:docPartGallery w:val="Page Numbers (Bottom of Page)"/>
        <w:docPartUnique/>
      </w:docPartObj>
    </w:sdtPr>
    <w:sdtEndPr/>
    <w:sdtContent>
      <w:p w14:paraId="7BF220D5" w14:textId="7A1DE491" w:rsidR="00A608A5" w:rsidRDefault="00A608A5">
        <w:pPr>
          <w:pStyle w:val="Piedepgina"/>
          <w:jc w:val="right"/>
        </w:pPr>
        <w:r>
          <w:fldChar w:fldCharType="begin"/>
        </w:r>
        <w:r>
          <w:instrText>PAGE   \* MERGEFORMAT</w:instrText>
        </w:r>
        <w:r>
          <w:fldChar w:fldCharType="separate"/>
        </w:r>
        <w:r w:rsidR="00183DCC" w:rsidRPr="00183DCC">
          <w:rPr>
            <w:noProof/>
            <w:lang w:val="es-ES"/>
          </w:rPr>
          <w:t>1</w:t>
        </w:r>
        <w:r>
          <w:fldChar w:fldCharType="end"/>
        </w:r>
      </w:p>
    </w:sdtContent>
  </w:sdt>
  <w:p w14:paraId="0EBECC08" w14:textId="77777777" w:rsidR="00A608A5" w:rsidRDefault="00A608A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B6B967" w14:textId="77777777" w:rsidR="00183DCC" w:rsidRDefault="00183DCC" w:rsidP="004E6C1F">
      <w:r>
        <w:separator/>
      </w:r>
    </w:p>
  </w:footnote>
  <w:footnote w:type="continuationSeparator" w:id="0">
    <w:p w14:paraId="63F38E70" w14:textId="77777777" w:rsidR="00183DCC" w:rsidRDefault="00183DCC" w:rsidP="004E6C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88E7338"/>
    <w:multiLevelType w:val="multilevel"/>
    <w:tmpl w:val="08226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DB60B4"/>
    <w:multiLevelType w:val="hybridMultilevel"/>
    <w:tmpl w:val="3724C00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B0A31EC"/>
    <w:multiLevelType w:val="multilevel"/>
    <w:tmpl w:val="2820CA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2" w15:restartNumberingAfterBreak="0">
    <w:nsid w:val="0DED6A00"/>
    <w:multiLevelType w:val="multilevel"/>
    <w:tmpl w:val="2820CA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3" w15:restartNumberingAfterBreak="0">
    <w:nsid w:val="17ED14A8"/>
    <w:multiLevelType w:val="multilevel"/>
    <w:tmpl w:val="4F04A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B6223C"/>
    <w:multiLevelType w:val="multilevel"/>
    <w:tmpl w:val="191A5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A63D37"/>
    <w:multiLevelType w:val="multilevel"/>
    <w:tmpl w:val="2820CA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6" w15:restartNumberingAfterBreak="0">
    <w:nsid w:val="233F7268"/>
    <w:multiLevelType w:val="hybridMultilevel"/>
    <w:tmpl w:val="A676953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7" w15:restartNumberingAfterBreak="0">
    <w:nsid w:val="27F2301E"/>
    <w:multiLevelType w:val="multilevel"/>
    <w:tmpl w:val="5B1A8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AF41A3C"/>
    <w:multiLevelType w:val="hybridMultilevel"/>
    <w:tmpl w:val="482C22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BC303F2"/>
    <w:multiLevelType w:val="multilevel"/>
    <w:tmpl w:val="354295F8"/>
    <w:lvl w:ilvl="0">
      <w:start w:val="1"/>
      <w:numFmt w:val="lowerLetter"/>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0" w15:restartNumberingAfterBreak="0">
    <w:nsid w:val="2DA5561A"/>
    <w:multiLevelType w:val="hybridMultilevel"/>
    <w:tmpl w:val="146861C6"/>
    <w:lvl w:ilvl="0" w:tplc="A73E716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18D2D58"/>
    <w:multiLevelType w:val="hybridMultilevel"/>
    <w:tmpl w:val="3744A588"/>
    <w:lvl w:ilvl="0" w:tplc="2F900B5C">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2" w15:restartNumberingAfterBreak="0">
    <w:nsid w:val="31AC4372"/>
    <w:multiLevelType w:val="multilevel"/>
    <w:tmpl w:val="3D368F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6592B25"/>
    <w:multiLevelType w:val="multilevel"/>
    <w:tmpl w:val="E8CC8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6D967F7"/>
    <w:multiLevelType w:val="multilevel"/>
    <w:tmpl w:val="82D4A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2B21E0"/>
    <w:multiLevelType w:val="hybridMultilevel"/>
    <w:tmpl w:val="9844DD7C"/>
    <w:lvl w:ilvl="0" w:tplc="A73E716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BA14903"/>
    <w:multiLevelType w:val="multilevel"/>
    <w:tmpl w:val="7458C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FC32B2"/>
    <w:multiLevelType w:val="hybridMultilevel"/>
    <w:tmpl w:val="2F6C94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E323680"/>
    <w:multiLevelType w:val="multilevel"/>
    <w:tmpl w:val="1C2051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F3D5057"/>
    <w:multiLevelType w:val="multilevel"/>
    <w:tmpl w:val="D4345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25D35A4"/>
    <w:multiLevelType w:val="multilevel"/>
    <w:tmpl w:val="3DA40818"/>
    <w:lvl w:ilvl="0">
      <w:start w:val="3"/>
      <w:numFmt w:val="decimal"/>
      <w:lvlText w:val="%1."/>
      <w:lvlJc w:val="left"/>
      <w:pPr>
        <w:ind w:left="390" w:hanging="390"/>
      </w:pPr>
      <w:rPr>
        <w:rFonts w:hint="default"/>
        <w:b/>
      </w:rPr>
    </w:lvl>
    <w:lvl w:ilvl="1">
      <w:start w:val="5"/>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1" w15:restartNumberingAfterBreak="0">
    <w:nsid w:val="44FD57FB"/>
    <w:multiLevelType w:val="multilevel"/>
    <w:tmpl w:val="26AE3226"/>
    <w:lvl w:ilvl="0">
      <w:start w:val="4"/>
      <w:numFmt w:val="decimal"/>
      <w:lvlText w:val="%1."/>
      <w:lvlJc w:val="left"/>
      <w:pPr>
        <w:ind w:left="390" w:hanging="39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2" w15:restartNumberingAfterBreak="0">
    <w:nsid w:val="458F468C"/>
    <w:multiLevelType w:val="multilevel"/>
    <w:tmpl w:val="480C70D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4ACF325C"/>
    <w:multiLevelType w:val="multilevel"/>
    <w:tmpl w:val="DE68F7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32451A5"/>
    <w:multiLevelType w:val="multilevel"/>
    <w:tmpl w:val="2820CA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35" w15:restartNumberingAfterBreak="0">
    <w:nsid w:val="55F84A52"/>
    <w:multiLevelType w:val="hybridMultilevel"/>
    <w:tmpl w:val="DE0C2504"/>
    <w:lvl w:ilvl="0" w:tplc="370E9FEE">
      <w:start w:val="1"/>
      <w:numFmt w:val="lowerLetter"/>
      <w:lvlText w:val="%1)"/>
      <w:lvlJc w:val="left"/>
      <w:pPr>
        <w:ind w:left="1060" w:hanging="70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B495ADE"/>
    <w:multiLevelType w:val="multilevel"/>
    <w:tmpl w:val="625CE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46658D"/>
    <w:multiLevelType w:val="multilevel"/>
    <w:tmpl w:val="2820CA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38" w15:restartNumberingAfterBreak="0">
    <w:nsid w:val="68EE3377"/>
    <w:multiLevelType w:val="multilevel"/>
    <w:tmpl w:val="56B4BA2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C652E19"/>
    <w:multiLevelType w:val="multilevel"/>
    <w:tmpl w:val="7C16FA08"/>
    <w:lvl w:ilvl="0">
      <w:start w:val="3"/>
      <w:numFmt w:val="decimal"/>
      <w:lvlText w:val="%1"/>
      <w:lvlJc w:val="left"/>
      <w:pPr>
        <w:ind w:left="360" w:hanging="360"/>
      </w:pPr>
      <w:rPr>
        <w:rFonts w:hint="default"/>
        <w:b/>
      </w:rPr>
    </w:lvl>
    <w:lvl w:ilvl="1">
      <w:start w:val="2"/>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40" w15:restartNumberingAfterBreak="0">
    <w:nsid w:val="6CED0422"/>
    <w:multiLevelType w:val="hybridMultilevel"/>
    <w:tmpl w:val="9BAA6FF2"/>
    <w:lvl w:ilvl="0" w:tplc="08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6F6E1829"/>
    <w:multiLevelType w:val="multilevel"/>
    <w:tmpl w:val="12B2B374"/>
    <w:lvl w:ilvl="0">
      <w:start w:val="1"/>
      <w:numFmt w:val="upperRoman"/>
      <w:lvlText w:val="%1."/>
      <w:lvlJc w:val="left"/>
      <w:pPr>
        <w:ind w:left="1428" w:hanging="719"/>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42" w15:restartNumberingAfterBreak="0">
    <w:nsid w:val="6FF978DB"/>
    <w:multiLevelType w:val="multilevel"/>
    <w:tmpl w:val="2820CA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43" w15:restartNumberingAfterBreak="0">
    <w:nsid w:val="73850C89"/>
    <w:multiLevelType w:val="multilevel"/>
    <w:tmpl w:val="2ED4E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B467D34"/>
    <w:multiLevelType w:val="hybridMultilevel"/>
    <w:tmpl w:val="F2A670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C151231"/>
    <w:multiLevelType w:val="hybridMultilevel"/>
    <w:tmpl w:val="C6FEAE16"/>
    <w:lvl w:ilvl="0" w:tplc="080A0013">
      <w:start w:val="1"/>
      <w:numFmt w:val="upperRoman"/>
      <w:lvlText w:val="%1."/>
      <w:lvlJc w:val="right"/>
      <w:pPr>
        <w:ind w:left="720" w:hanging="360"/>
      </w:pPr>
    </w:lvl>
    <w:lvl w:ilvl="1" w:tplc="080A0013">
      <w:start w:val="1"/>
      <w:numFmt w:val="upp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C6D46CE"/>
    <w:multiLevelType w:val="multilevel"/>
    <w:tmpl w:val="2820CA7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47" w15:restartNumberingAfterBreak="0">
    <w:nsid w:val="7E2A72D0"/>
    <w:multiLevelType w:val="multilevel"/>
    <w:tmpl w:val="D0F6156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7EF1355F"/>
    <w:multiLevelType w:val="multilevel"/>
    <w:tmpl w:val="8F66A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33"/>
  </w:num>
  <w:num w:numId="11">
    <w:abstractNumId w:val="27"/>
  </w:num>
  <w:num w:numId="12">
    <w:abstractNumId w:val="24"/>
  </w:num>
  <w:num w:numId="13">
    <w:abstractNumId w:val="42"/>
  </w:num>
  <w:num w:numId="14">
    <w:abstractNumId w:val="11"/>
  </w:num>
  <w:num w:numId="15">
    <w:abstractNumId w:val="22"/>
  </w:num>
  <w:num w:numId="16">
    <w:abstractNumId w:val="34"/>
  </w:num>
  <w:num w:numId="17">
    <w:abstractNumId w:val="14"/>
  </w:num>
  <w:num w:numId="18">
    <w:abstractNumId w:val="48"/>
  </w:num>
  <w:num w:numId="19">
    <w:abstractNumId w:val="43"/>
  </w:num>
  <w:num w:numId="20">
    <w:abstractNumId w:val="26"/>
  </w:num>
  <w:num w:numId="21">
    <w:abstractNumId w:val="46"/>
  </w:num>
  <w:num w:numId="22">
    <w:abstractNumId w:val="37"/>
  </w:num>
  <w:num w:numId="23">
    <w:abstractNumId w:val="12"/>
  </w:num>
  <w:num w:numId="24">
    <w:abstractNumId w:val="15"/>
  </w:num>
  <w:num w:numId="25">
    <w:abstractNumId w:val="20"/>
  </w:num>
  <w:num w:numId="26">
    <w:abstractNumId w:val="25"/>
  </w:num>
  <w:num w:numId="27">
    <w:abstractNumId w:val="36"/>
  </w:num>
  <w:num w:numId="28">
    <w:abstractNumId w:val="40"/>
  </w:num>
  <w:num w:numId="29">
    <w:abstractNumId w:val="16"/>
  </w:num>
  <w:num w:numId="30">
    <w:abstractNumId w:val="29"/>
  </w:num>
  <w:num w:numId="31">
    <w:abstractNumId w:val="18"/>
  </w:num>
  <w:num w:numId="32">
    <w:abstractNumId w:val="13"/>
  </w:num>
  <w:num w:numId="33">
    <w:abstractNumId w:val="17"/>
  </w:num>
  <w:num w:numId="34">
    <w:abstractNumId w:val="23"/>
  </w:num>
  <w:num w:numId="35">
    <w:abstractNumId w:val="9"/>
  </w:num>
  <w:num w:numId="36">
    <w:abstractNumId w:val="39"/>
  </w:num>
  <w:num w:numId="37">
    <w:abstractNumId w:val="30"/>
  </w:num>
  <w:num w:numId="38">
    <w:abstractNumId w:val="31"/>
  </w:num>
  <w:num w:numId="39">
    <w:abstractNumId w:val="21"/>
  </w:num>
  <w:num w:numId="40">
    <w:abstractNumId w:val="38"/>
  </w:num>
  <w:num w:numId="41">
    <w:abstractNumId w:val="44"/>
  </w:num>
  <w:num w:numId="42">
    <w:abstractNumId w:val="32"/>
  </w:num>
  <w:num w:numId="43">
    <w:abstractNumId w:val="19"/>
  </w:num>
  <w:num w:numId="44">
    <w:abstractNumId w:val="41"/>
  </w:num>
  <w:num w:numId="45">
    <w:abstractNumId w:val="47"/>
  </w:num>
  <w:num w:numId="46">
    <w:abstractNumId w:val="28"/>
  </w:num>
  <w:num w:numId="47">
    <w:abstractNumId w:val="35"/>
  </w:num>
  <w:num w:numId="48">
    <w:abstractNumId w:val="10"/>
  </w:num>
  <w:num w:numId="4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06F17"/>
    <w:rsid w:val="00034616"/>
    <w:rsid w:val="00034A48"/>
    <w:rsid w:val="00054601"/>
    <w:rsid w:val="0006063C"/>
    <w:rsid w:val="0007561C"/>
    <w:rsid w:val="00075ACE"/>
    <w:rsid w:val="000803AF"/>
    <w:rsid w:val="00092941"/>
    <w:rsid w:val="00096C31"/>
    <w:rsid w:val="000A13C2"/>
    <w:rsid w:val="000A79F2"/>
    <w:rsid w:val="000C577B"/>
    <w:rsid w:val="000E0DA0"/>
    <w:rsid w:val="000F22AA"/>
    <w:rsid w:val="001077E2"/>
    <w:rsid w:val="0012390C"/>
    <w:rsid w:val="00136C55"/>
    <w:rsid w:val="00143B19"/>
    <w:rsid w:val="0015074B"/>
    <w:rsid w:val="00180A62"/>
    <w:rsid w:val="00183674"/>
    <w:rsid w:val="00183DCC"/>
    <w:rsid w:val="001D14B8"/>
    <w:rsid w:val="001D164A"/>
    <w:rsid w:val="001D599C"/>
    <w:rsid w:val="001F40B8"/>
    <w:rsid w:val="001F446B"/>
    <w:rsid w:val="002375C3"/>
    <w:rsid w:val="00250219"/>
    <w:rsid w:val="00263058"/>
    <w:rsid w:val="0027018C"/>
    <w:rsid w:val="00281707"/>
    <w:rsid w:val="00283212"/>
    <w:rsid w:val="0029639D"/>
    <w:rsid w:val="002D108E"/>
    <w:rsid w:val="002D592F"/>
    <w:rsid w:val="002E4C73"/>
    <w:rsid w:val="002F480B"/>
    <w:rsid w:val="00302568"/>
    <w:rsid w:val="00313EA1"/>
    <w:rsid w:val="003202FC"/>
    <w:rsid w:val="00326F90"/>
    <w:rsid w:val="003363C4"/>
    <w:rsid w:val="003443DC"/>
    <w:rsid w:val="00366D25"/>
    <w:rsid w:val="00382CAE"/>
    <w:rsid w:val="0039183D"/>
    <w:rsid w:val="003C79F1"/>
    <w:rsid w:val="003E4841"/>
    <w:rsid w:val="003F410A"/>
    <w:rsid w:val="003F670C"/>
    <w:rsid w:val="00430DB8"/>
    <w:rsid w:val="00464E8C"/>
    <w:rsid w:val="004816E9"/>
    <w:rsid w:val="004A76F2"/>
    <w:rsid w:val="004E6C1F"/>
    <w:rsid w:val="004E7BC0"/>
    <w:rsid w:val="00505C66"/>
    <w:rsid w:val="00513F1D"/>
    <w:rsid w:val="00525F56"/>
    <w:rsid w:val="00531297"/>
    <w:rsid w:val="00535A41"/>
    <w:rsid w:val="00551949"/>
    <w:rsid w:val="00575238"/>
    <w:rsid w:val="00575935"/>
    <w:rsid w:val="005C4B8C"/>
    <w:rsid w:val="005D228D"/>
    <w:rsid w:val="005E4BC1"/>
    <w:rsid w:val="005E5AD2"/>
    <w:rsid w:val="005F124F"/>
    <w:rsid w:val="005F2F90"/>
    <w:rsid w:val="005F3C4D"/>
    <w:rsid w:val="00600E51"/>
    <w:rsid w:val="00610A3B"/>
    <w:rsid w:val="00617EA4"/>
    <w:rsid w:val="006212C8"/>
    <w:rsid w:val="006753DD"/>
    <w:rsid w:val="006772C2"/>
    <w:rsid w:val="00686901"/>
    <w:rsid w:val="006873E7"/>
    <w:rsid w:val="006A6788"/>
    <w:rsid w:val="006B7280"/>
    <w:rsid w:val="006B7BD1"/>
    <w:rsid w:val="006C3B6B"/>
    <w:rsid w:val="0071171E"/>
    <w:rsid w:val="007551F2"/>
    <w:rsid w:val="00766B66"/>
    <w:rsid w:val="007729DB"/>
    <w:rsid w:val="00777DB0"/>
    <w:rsid w:val="00781452"/>
    <w:rsid w:val="007A16C4"/>
    <w:rsid w:val="007A44B4"/>
    <w:rsid w:val="007C0AD3"/>
    <w:rsid w:val="007F3CED"/>
    <w:rsid w:val="007F40A3"/>
    <w:rsid w:val="007F688D"/>
    <w:rsid w:val="007F6F34"/>
    <w:rsid w:val="00802C9E"/>
    <w:rsid w:val="00832BA5"/>
    <w:rsid w:val="00865ACC"/>
    <w:rsid w:val="0087581D"/>
    <w:rsid w:val="008921A4"/>
    <w:rsid w:val="0089317D"/>
    <w:rsid w:val="00896808"/>
    <w:rsid w:val="008A7CC2"/>
    <w:rsid w:val="008C0A57"/>
    <w:rsid w:val="008C5D6C"/>
    <w:rsid w:val="008F4E14"/>
    <w:rsid w:val="00904FFD"/>
    <w:rsid w:val="0093626F"/>
    <w:rsid w:val="009654EE"/>
    <w:rsid w:val="009722FE"/>
    <w:rsid w:val="00975A43"/>
    <w:rsid w:val="00976610"/>
    <w:rsid w:val="00976AEC"/>
    <w:rsid w:val="00987794"/>
    <w:rsid w:val="00991499"/>
    <w:rsid w:val="009A7EE2"/>
    <w:rsid w:val="009B56F0"/>
    <w:rsid w:val="009C4D4C"/>
    <w:rsid w:val="009D1AC5"/>
    <w:rsid w:val="009E64E4"/>
    <w:rsid w:val="00A078D2"/>
    <w:rsid w:val="00A20DAC"/>
    <w:rsid w:val="00A31089"/>
    <w:rsid w:val="00A32018"/>
    <w:rsid w:val="00A363B3"/>
    <w:rsid w:val="00A41A50"/>
    <w:rsid w:val="00A44675"/>
    <w:rsid w:val="00A608A5"/>
    <w:rsid w:val="00A62DAC"/>
    <w:rsid w:val="00A70F55"/>
    <w:rsid w:val="00A745E9"/>
    <w:rsid w:val="00AA1D8D"/>
    <w:rsid w:val="00AA7149"/>
    <w:rsid w:val="00AC7FF1"/>
    <w:rsid w:val="00AE6222"/>
    <w:rsid w:val="00AF16A6"/>
    <w:rsid w:val="00AF208F"/>
    <w:rsid w:val="00AF2A9D"/>
    <w:rsid w:val="00AF55A5"/>
    <w:rsid w:val="00AF664D"/>
    <w:rsid w:val="00B249B3"/>
    <w:rsid w:val="00B269FA"/>
    <w:rsid w:val="00B272E4"/>
    <w:rsid w:val="00B47730"/>
    <w:rsid w:val="00B52BDF"/>
    <w:rsid w:val="00B912BE"/>
    <w:rsid w:val="00BD20D2"/>
    <w:rsid w:val="00BD643A"/>
    <w:rsid w:val="00BE4C7A"/>
    <w:rsid w:val="00BF728F"/>
    <w:rsid w:val="00C03359"/>
    <w:rsid w:val="00C53E86"/>
    <w:rsid w:val="00C64D3C"/>
    <w:rsid w:val="00C77FB6"/>
    <w:rsid w:val="00C86B7C"/>
    <w:rsid w:val="00C94522"/>
    <w:rsid w:val="00C971EC"/>
    <w:rsid w:val="00CB0664"/>
    <w:rsid w:val="00CE637E"/>
    <w:rsid w:val="00CF4B65"/>
    <w:rsid w:val="00D03AEF"/>
    <w:rsid w:val="00D05183"/>
    <w:rsid w:val="00D2562C"/>
    <w:rsid w:val="00D25785"/>
    <w:rsid w:val="00D307DE"/>
    <w:rsid w:val="00D45426"/>
    <w:rsid w:val="00D50010"/>
    <w:rsid w:val="00D5003C"/>
    <w:rsid w:val="00D60720"/>
    <w:rsid w:val="00D84CE9"/>
    <w:rsid w:val="00DA186D"/>
    <w:rsid w:val="00DA23A3"/>
    <w:rsid w:val="00DA3951"/>
    <w:rsid w:val="00DB1597"/>
    <w:rsid w:val="00DC5EDC"/>
    <w:rsid w:val="00DC72E6"/>
    <w:rsid w:val="00E01481"/>
    <w:rsid w:val="00E0411E"/>
    <w:rsid w:val="00E5257F"/>
    <w:rsid w:val="00E531EA"/>
    <w:rsid w:val="00E728EB"/>
    <w:rsid w:val="00E84C42"/>
    <w:rsid w:val="00EB318D"/>
    <w:rsid w:val="00EC5AE8"/>
    <w:rsid w:val="00ED1E52"/>
    <w:rsid w:val="00EE1C09"/>
    <w:rsid w:val="00EE6F00"/>
    <w:rsid w:val="00EF70DE"/>
    <w:rsid w:val="00F14BFE"/>
    <w:rsid w:val="00F212C7"/>
    <w:rsid w:val="00F27B76"/>
    <w:rsid w:val="00F33ABC"/>
    <w:rsid w:val="00F4592D"/>
    <w:rsid w:val="00F61DD1"/>
    <w:rsid w:val="00F61F78"/>
    <w:rsid w:val="00F76F44"/>
    <w:rsid w:val="00FA2681"/>
    <w:rsid w:val="00FB20D2"/>
    <w:rsid w:val="00FC2D3D"/>
    <w:rsid w:val="00FC693F"/>
    <w:rsid w:val="00FD0DF1"/>
    <w:rsid w:val="00FD5DA3"/>
    <w:rsid w:val="00FE3C29"/>
    <w:rsid w:val="00FF35DF"/>
    <w:rsid w:val="00FF5D2E"/>
    <w:rsid w:val="00FF6A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564443"/>
  <w14:defaultImageDpi w14:val="300"/>
  <w15:docId w15:val="{2E0A98D5-F82F-40C7-B396-49212E6DE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4CE9"/>
    <w:pPr>
      <w:spacing w:after="0" w:line="240" w:lineRule="auto"/>
    </w:pPr>
    <w:rPr>
      <w:rFonts w:ascii="Times New Roman" w:eastAsia="Times New Roman" w:hAnsi="Times New Roman" w:cs="Times New Roman"/>
      <w:sz w:val="24"/>
      <w:szCs w:val="24"/>
      <w:lang w:val="es-MX" w:eastAsia="es-MX"/>
    </w:rPr>
  </w:style>
  <w:style w:type="paragraph" w:styleId="Ttulo1">
    <w:name w:val="heading 1"/>
    <w:basedOn w:val="Normal"/>
    <w:next w:val="Normal"/>
    <w:link w:val="Ttulo1C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Puesto">
    <w:name w:val="Title"/>
    <w:basedOn w:val="Normal"/>
    <w:next w:val="Normal"/>
    <w:link w:val="PuestoC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link w:val="PrrafodelistaCar"/>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de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D307DE"/>
    <w:pPr>
      <w:spacing w:before="100" w:beforeAutospacing="1" w:after="100" w:afterAutospacing="1"/>
    </w:pPr>
  </w:style>
  <w:style w:type="character" w:styleId="Hipervnculo">
    <w:name w:val="Hyperlink"/>
    <w:basedOn w:val="Fuentedeprrafopredeter"/>
    <w:uiPriority w:val="99"/>
    <w:unhideWhenUsed/>
    <w:rsid w:val="0027018C"/>
    <w:rPr>
      <w:color w:val="0000FF" w:themeColor="hyperlink"/>
      <w:u w:val="single"/>
    </w:rPr>
  </w:style>
  <w:style w:type="character" w:customStyle="1" w:styleId="UnresolvedMention">
    <w:name w:val="Unresolved Mention"/>
    <w:basedOn w:val="Fuentedeprrafopredeter"/>
    <w:uiPriority w:val="99"/>
    <w:semiHidden/>
    <w:unhideWhenUsed/>
    <w:rsid w:val="0027018C"/>
    <w:rPr>
      <w:color w:val="605E5C"/>
      <w:shd w:val="clear" w:color="auto" w:fill="E1DFDD"/>
    </w:rPr>
  </w:style>
  <w:style w:type="character" w:customStyle="1" w:styleId="ms-1">
    <w:name w:val="ms-1"/>
    <w:basedOn w:val="Fuentedeprrafopredeter"/>
    <w:rsid w:val="00987794"/>
  </w:style>
  <w:style w:type="character" w:customStyle="1" w:styleId="max-w-15ch">
    <w:name w:val="max-w-[15ch]"/>
    <w:basedOn w:val="Fuentedeprrafopredeter"/>
    <w:rsid w:val="00987794"/>
  </w:style>
  <w:style w:type="character" w:customStyle="1" w:styleId="-me-1">
    <w:name w:val="-me-1"/>
    <w:basedOn w:val="Fuentedeprrafopredeter"/>
    <w:rsid w:val="00987794"/>
  </w:style>
  <w:style w:type="character" w:customStyle="1" w:styleId="PrrafodelistaCar">
    <w:name w:val="Párrafo de lista Car"/>
    <w:link w:val="Prrafodelista"/>
    <w:uiPriority w:val="34"/>
    <w:rsid w:val="00B912BE"/>
    <w:rPr>
      <w:rFonts w:ascii="Times New Roman" w:eastAsia="Times New Roman" w:hAnsi="Times New Roman" w:cs="Times New Roman"/>
      <w:sz w:val="24"/>
      <w:szCs w:val="24"/>
      <w:lang w:val="es-MX" w:eastAsia="es-MX"/>
    </w:rPr>
  </w:style>
  <w:style w:type="paragraph" w:styleId="Revisin">
    <w:name w:val="Revision"/>
    <w:hidden/>
    <w:uiPriority w:val="99"/>
    <w:semiHidden/>
    <w:rsid w:val="00E531EA"/>
    <w:pPr>
      <w:spacing w:after="0" w:line="240" w:lineRule="auto"/>
    </w:pPr>
    <w:rPr>
      <w:rFonts w:ascii="Times New Roman" w:eastAsia="Times New Roman" w:hAnsi="Times New Roman" w:cs="Times New Roman"/>
      <w:sz w:val="24"/>
      <w:szCs w:val="24"/>
      <w:lang w:val="es-MX" w:eastAsia="es-MX"/>
    </w:rPr>
  </w:style>
  <w:style w:type="character" w:styleId="Refdecomentario">
    <w:name w:val="annotation reference"/>
    <w:basedOn w:val="Fuentedeprrafopredeter"/>
    <w:uiPriority w:val="99"/>
    <w:semiHidden/>
    <w:unhideWhenUsed/>
    <w:rsid w:val="00505C66"/>
    <w:rPr>
      <w:sz w:val="16"/>
      <w:szCs w:val="16"/>
    </w:rPr>
  </w:style>
  <w:style w:type="paragraph" w:styleId="Textocomentario">
    <w:name w:val="annotation text"/>
    <w:basedOn w:val="Normal"/>
    <w:link w:val="TextocomentarioCar"/>
    <w:uiPriority w:val="99"/>
    <w:unhideWhenUsed/>
    <w:rsid w:val="00505C66"/>
    <w:rPr>
      <w:sz w:val="20"/>
      <w:szCs w:val="20"/>
    </w:rPr>
  </w:style>
  <w:style w:type="character" w:customStyle="1" w:styleId="TextocomentarioCar">
    <w:name w:val="Texto comentario Car"/>
    <w:basedOn w:val="Fuentedeprrafopredeter"/>
    <w:link w:val="Textocomentario"/>
    <w:uiPriority w:val="99"/>
    <w:rsid w:val="00505C66"/>
    <w:rPr>
      <w:rFonts w:ascii="Times New Roman" w:eastAsia="Times New Roman" w:hAnsi="Times New Roman" w:cs="Times New Roman"/>
      <w:sz w:val="20"/>
      <w:szCs w:val="20"/>
      <w:lang w:val="es-MX" w:eastAsia="es-MX"/>
    </w:rPr>
  </w:style>
  <w:style w:type="paragraph" w:styleId="Asuntodelcomentario">
    <w:name w:val="annotation subject"/>
    <w:basedOn w:val="Textocomentario"/>
    <w:next w:val="Textocomentario"/>
    <w:link w:val="AsuntodelcomentarioCar"/>
    <w:uiPriority w:val="99"/>
    <w:semiHidden/>
    <w:unhideWhenUsed/>
    <w:rsid w:val="00505C66"/>
    <w:rPr>
      <w:b/>
      <w:bCs/>
    </w:rPr>
  </w:style>
  <w:style w:type="character" w:customStyle="1" w:styleId="AsuntodelcomentarioCar">
    <w:name w:val="Asunto del comentario Car"/>
    <w:basedOn w:val="TextocomentarioCar"/>
    <w:link w:val="Asuntodelcomentario"/>
    <w:uiPriority w:val="99"/>
    <w:semiHidden/>
    <w:rsid w:val="00505C66"/>
    <w:rPr>
      <w:rFonts w:ascii="Times New Roman" w:eastAsia="Times New Roman" w:hAnsi="Times New Roman" w:cs="Times New Roman"/>
      <w:b/>
      <w:bCs/>
      <w:sz w:val="2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Gr&#225;fico%20en%20Microsoft%20Word"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oleObject" Target="https://sfamich-my.sharepoint.com/personal/luis_valenciab_sfa_michoacan_gob_mx/Documents/Documentos/Ley%20de%20Ingresos%202026/CALCULOS%20Y%20ANTEPROYECTO/Tabla%20ILIE%202026/Flujos%20IED%20Michoac&#225;n.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clustered"/>
        <c:varyColors val="0"/>
        <c:ser>
          <c:idx val="0"/>
          <c:order val="0"/>
          <c:tx>
            <c:strRef>
              <c:f>'[Gráfico en Microsoft Word]Hoja3'!$J$9</c:f>
              <c:strCache>
                <c:ptCount val="1"/>
                <c:pt idx="0">
                  <c:v>Variación % respecto al trimestre previo</c:v>
                </c:pt>
              </c:strCache>
            </c:strRef>
          </c:tx>
          <c:spPr>
            <a:solidFill>
              <a:srgbClr val="660033"/>
            </a:solidFill>
            <a:ln>
              <a:noFill/>
            </a:ln>
            <a:effectLst/>
          </c:spPr>
          <c:invertIfNegative val="0"/>
          <c:dPt>
            <c:idx val="1"/>
            <c:invertIfNegative val="0"/>
            <c:bubble3D val="0"/>
            <c:spPr>
              <a:solidFill>
                <a:srgbClr val="FFC000"/>
              </a:solidFill>
              <a:ln>
                <a:noFill/>
              </a:ln>
              <a:effectLst/>
            </c:spPr>
            <c:extLst xmlns:c16r2="http://schemas.microsoft.com/office/drawing/2015/06/chart">
              <c:ext xmlns:c16="http://schemas.microsoft.com/office/drawing/2014/chart" uri="{C3380CC4-5D6E-409C-BE32-E72D297353CC}">
                <c16:uniqueId val="{00000001-E830-41EC-91A2-1AC6FC15DBDD}"/>
              </c:ext>
            </c:extLst>
          </c:dPt>
          <c:dLbls>
            <c:dLbl>
              <c:idx val="1"/>
              <c:dLblPos val="outEnd"/>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E830-41EC-91A2-1AC6FC15DBDD}"/>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'[Gráfico en Microsoft Word]Hoja3'!$I$10:$I$41</c:f>
              <c:strCache>
                <c:ptCount val="32"/>
                <c:pt idx="0">
                  <c:v>Hidalgo</c:v>
                </c:pt>
                <c:pt idx="1">
                  <c:v>Michoacán</c:v>
                </c:pt>
                <c:pt idx="2">
                  <c:v>Guanajuato</c:v>
                </c:pt>
                <c:pt idx="3">
                  <c:v>Nuevo León</c:v>
                </c:pt>
                <c:pt idx="4">
                  <c:v>Coahuila</c:v>
                </c:pt>
                <c:pt idx="5">
                  <c:v>Puebla</c:v>
                </c:pt>
                <c:pt idx="6">
                  <c:v>Aguascalientes</c:v>
                </c:pt>
                <c:pt idx="7">
                  <c:v>Ciudad de México</c:v>
                </c:pt>
                <c:pt idx="8">
                  <c:v>Tamaulipas</c:v>
                </c:pt>
                <c:pt idx="9">
                  <c:v>Querétaro </c:v>
                </c:pt>
                <c:pt idx="10">
                  <c:v>Chiapas</c:v>
                </c:pt>
                <c:pt idx="11">
                  <c:v>Tabasco</c:v>
                </c:pt>
                <c:pt idx="12">
                  <c:v>San Luis Potosí</c:v>
                </c:pt>
                <c:pt idx="13">
                  <c:v>Baja California Sur</c:v>
                </c:pt>
                <c:pt idx="14">
                  <c:v>Baja California</c:v>
                </c:pt>
                <c:pt idx="15">
                  <c:v>Yucatán</c:v>
                </c:pt>
                <c:pt idx="16">
                  <c:v>Jalisco</c:v>
                </c:pt>
                <c:pt idx="17">
                  <c:v>México</c:v>
                </c:pt>
                <c:pt idx="18">
                  <c:v>Morelos</c:v>
                </c:pt>
                <c:pt idx="19">
                  <c:v>Sonora</c:v>
                </c:pt>
                <c:pt idx="20">
                  <c:v>Chihuahua</c:v>
                </c:pt>
                <c:pt idx="21">
                  <c:v>Colima</c:v>
                </c:pt>
                <c:pt idx="22">
                  <c:v>Quintana Roo</c:v>
                </c:pt>
                <c:pt idx="23">
                  <c:v>Veracruz </c:v>
                </c:pt>
                <c:pt idx="24">
                  <c:v>Guerrero</c:v>
                </c:pt>
                <c:pt idx="25">
                  <c:v>Durango</c:v>
                </c:pt>
                <c:pt idx="26">
                  <c:v>Campeche</c:v>
                </c:pt>
                <c:pt idx="27">
                  <c:v>Tlaxcala</c:v>
                </c:pt>
                <c:pt idx="28">
                  <c:v>Zacatecas</c:v>
                </c:pt>
                <c:pt idx="29">
                  <c:v>Oaxaca</c:v>
                </c:pt>
                <c:pt idx="30">
                  <c:v>Sinaloa</c:v>
                </c:pt>
                <c:pt idx="31">
                  <c:v>Nayarit</c:v>
                </c:pt>
              </c:strCache>
            </c:strRef>
          </c:cat>
          <c:val>
            <c:numRef>
              <c:f>'[Gráfico en Microsoft Word]Hoja3'!$J$10:$J$41</c:f>
              <c:numCache>
                <c:formatCode>0.0</c:formatCode>
                <c:ptCount val="32"/>
                <c:pt idx="0">
                  <c:v>3.1428244629084556</c:v>
                </c:pt>
                <c:pt idx="1">
                  <c:v>3.0410106070899889</c:v>
                </c:pt>
                <c:pt idx="2">
                  <c:v>2.8621197003972254</c:v>
                </c:pt>
                <c:pt idx="3">
                  <c:v>2.5626344174755733</c:v>
                </c:pt>
                <c:pt idx="4">
                  <c:v>2.4222406325515866</c:v>
                </c:pt>
                <c:pt idx="5">
                  <c:v>2.0141156761313894</c:v>
                </c:pt>
                <c:pt idx="6">
                  <c:v>1.9434118714767745</c:v>
                </c:pt>
                <c:pt idx="7">
                  <c:v>1.6900765959537045</c:v>
                </c:pt>
                <c:pt idx="8">
                  <c:v>1.573296568901994</c:v>
                </c:pt>
                <c:pt idx="9">
                  <c:v>1.386141282585962</c:v>
                </c:pt>
                <c:pt idx="10">
                  <c:v>0.81353755749125067</c:v>
                </c:pt>
                <c:pt idx="11">
                  <c:v>0.6589188632925902</c:v>
                </c:pt>
                <c:pt idx="12">
                  <c:v>0.54659296270254121</c:v>
                </c:pt>
                <c:pt idx="13">
                  <c:v>0.47643902111051961</c:v>
                </c:pt>
                <c:pt idx="14">
                  <c:v>0.44021283009860745</c:v>
                </c:pt>
                <c:pt idx="15">
                  <c:v>0.3634344909809295</c:v>
                </c:pt>
                <c:pt idx="16">
                  <c:v>0.33198634463669219</c:v>
                </c:pt>
                <c:pt idx="17">
                  <c:v>0.33047633016074496</c:v>
                </c:pt>
                <c:pt idx="18">
                  <c:v>1.2887564614927349E-2</c:v>
                </c:pt>
                <c:pt idx="19">
                  <c:v>-5.9478822703284973E-2</c:v>
                </c:pt>
                <c:pt idx="20">
                  <c:v>-0.13670672771549652</c:v>
                </c:pt>
                <c:pt idx="21">
                  <c:v>-0.32646823449288265</c:v>
                </c:pt>
                <c:pt idx="22">
                  <c:v>-0.75960855894456891</c:v>
                </c:pt>
                <c:pt idx="23">
                  <c:v>-0.91455491841291314</c:v>
                </c:pt>
                <c:pt idx="24">
                  <c:v>-0.98187058713288256</c:v>
                </c:pt>
                <c:pt idx="25">
                  <c:v>-1.00662823806692</c:v>
                </c:pt>
                <c:pt idx="26">
                  <c:v>-1.1102061630586246</c:v>
                </c:pt>
                <c:pt idx="27">
                  <c:v>-1.3522000345883578</c:v>
                </c:pt>
                <c:pt idx="28">
                  <c:v>-1.3783870915600294</c:v>
                </c:pt>
                <c:pt idx="29">
                  <c:v>-2.3258405871521837</c:v>
                </c:pt>
                <c:pt idx="30">
                  <c:v>-2.8139372716159294</c:v>
                </c:pt>
                <c:pt idx="31">
                  <c:v>-3.8475436023321707</c:v>
                </c:pt>
              </c:numCache>
            </c:numRef>
          </c:val>
          <c:extLst xmlns:c16r2="http://schemas.microsoft.com/office/drawing/2015/06/chart">
            <c:ext xmlns:c16="http://schemas.microsoft.com/office/drawing/2014/chart" uri="{C3380CC4-5D6E-409C-BE32-E72D297353CC}">
              <c16:uniqueId val="{00000002-E830-41EC-91A2-1AC6FC15DBDD}"/>
            </c:ext>
          </c:extLst>
        </c:ser>
        <c:dLbls>
          <c:showLegendKey val="0"/>
          <c:showVal val="0"/>
          <c:showCatName val="0"/>
          <c:showSerName val="0"/>
          <c:showPercent val="0"/>
          <c:showBubbleSize val="0"/>
        </c:dLbls>
        <c:gapWidth val="219"/>
        <c:overlap val="-27"/>
        <c:axId val="-1215566624"/>
        <c:axId val="-1215572064"/>
      </c:barChart>
      <c:lineChart>
        <c:grouping val="standard"/>
        <c:varyColors val="0"/>
        <c:ser>
          <c:idx val="1"/>
          <c:order val="1"/>
          <c:tx>
            <c:strRef>
              <c:f>'[Gráfico en Microsoft Word]Hoja3'!$K$9</c:f>
              <c:strCache>
                <c:ptCount val="1"/>
                <c:pt idx="0">
                  <c:v>Variación % respecto a igual trimestre del año anterior</c:v>
                </c:pt>
              </c:strCache>
            </c:strRef>
          </c:tx>
          <c:spPr>
            <a:ln w="28575" cap="rnd">
              <a:solidFill>
                <a:srgbClr val="92D050"/>
              </a:solidFill>
              <a:round/>
            </a:ln>
            <a:effectLst/>
          </c:spPr>
          <c:marker>
            <c:symbol val="none"/>
          </c:marker>
          <c:cat>
            <c:strRef>
              <c:f>'[Gráfico en Microsoft Word]Hoja3'!$I$10:$I$41</c:f>
              <c:strCache>
                <c:ptCount val="32"/>
                <c:pt idx="0">
                  <c:v>Hidalgo</c:v>
                </c:pt>
                <c:pt idx="1">
                  <c:v>Michoacán</c:v>
                </c:pt>
                <c:pt idx="2">
                  <c:v>Guanajuato</c:v>
                </c:pt>
                <c:pt idx="3">
                  <c:v>Nuevo León</c:v>
                </c:pt>
                <c:pt idx="4">
                  <c:v>Coahuila</c:v>
                </c:pt>
                <c:pt idx="5">
                  <c:v>Puebla</c:v>
                </c:pt>
                <c:pt idx="6">
                  <c:v>Aguascalientes</c:v>
                </c:pt>
                <c:pt idx="7">
                  <c:v>Ciudad de México</c:v>
                </c:pt>
                <c:pt idx="8">
                  <c:v>Tamaulipas</c:v>
                </c:pt>
                <c:pt idx="9">
                  <c:v>Querétaro </c:v>
                </c:pt>
                <c:pt idx="10">
                  <c:v>Chiapas</c:v>
                </c:pt>
                <c:pt idx="11">
                  <c:v>Tabasco</c:v>
                </c:pt>
                <c:pt idx="12">
                  <c:v>San Luis Potosí</c:v>
                </c:pt>
                <c:pt idx="13">
                  <c:v>Baja California Sur</c:v>
                </c:pt>
                <c:pt idx="14">
                  <c:v>Baja California</c:v>
                </c:pt>
                <c:pt idx="15">
                  <c:v>Yucatán</c:v>
                </c:pt>
                <c:pt idx="16">
                  <c:v>Jalisco</c:v>
                </c:pt>
                <c:pt idx="17">
                  <c:v>México</c:v>
                </c:pt>
                <c:pt idx="18">
                  <c:v>Morelos</c:v>
                </c:pt>
                <c:pt idx="19">
                  <c:v>Sonora</c:v>
                </c:pt>
                <c:pt idx="20">
                  <c:v>Chihuahua</c:v>
                </c:pt>
                <c:pt idx="21">
                  <c:v>Colima</c:v>
                </c:pt>
                <c:pt idx="22">
                  <c:v>Quintana Roo</c:v>
                </c:pt>
                <c:pt idx="23">
                  <c:v>Veracruz </c:v>
                </c:pt>
                <c:pt idx="24">
                  <c:v>Guerrero</c:v>
                </c:pt>
                <c:pt idx="25">
                  <c:v>Durango</c:v>
                </c:pt>
                <c:pt idx="26">
                  <c:v>Campeche</c:v>
                </c:pt>
                <c:pt idx="27">
                  <c:v>Tlaxcala</c:v>
                </c:pt>
                <c:pt idx="28">
                  <c:v>Zacatecas</c:v>
                </c:pt>
                <c:pt idx="29">
                  <c:v>Oaxaca</c:v>
                </c:pt>
                <c:pt idx="30">
                  <c:v>Sinaloa</c:v>
                </c:pt>
                <c:pt idx="31">
                  <c:v>Nayarit</c:v>
                </c:pt>
              </c:strCache>
            </c:strRef>
          </c:cat>
          <c:val>
            <c:numRef>
              <c:f>'[Gráfico en Microsoft Word]Hoja3'!$K$10:$K$41</c:f>
              <c:numCache>
                <c:formatCode>0.0</c:formatCode>
                <c:ptCount val="32"/>
                <c:pt idx="0">
                  <c:v>7.0620372695079814</c:v>
                </c:pt>
                <c:pt idx="1">
                  <c:v>3.6560406347917462</c:v>
                </c:pt>
                <c:pt idx="2">
                  <c:v>4.5229270951009815</c:v>
                </c:pt>
                <c:pt idx="3">
                  <c:v>4.1925464770775855</c:v>
                </c:pt>
                <c:pt idx="4">
                  <c:v>-1.1582187419132417</c:v>
                </c:pt>
                <c:pt idx="5">
                  <c:v>0.4440012473125865</c:v>
                </c:pt>
                <c:pt idx="6">
                  <c:v>2.1226375639777251</c:v>
                </c:pt>
                <c:pt idx="7">
                  <c:v>3.7347768337741005</c:v>
                </c:pt>
                <c:pt idx="8">
                  <c:v>3.3480615924981638</c:v>
                </c:pt>
                <c:pt idx="9">
                  <c:v>1.1422141699874544</c:v>
                </c:pt>
                <c:pt idx="10">
                  <c:v>2.6072995643068753</c:v>
                </c:pt>
                <c:pt idx="11">
                  <c:v>-6.7560557746426682</c:v>
                </c:pt>
                <c:pt idx="12">
                  <c:v>2.0870136424774017</c:v>
                </c:pt>
                <c:pt idx="13">
                  <c:v>2.6016769264171735</c:v>
                </c:pt>
                <c:pt idx="14">
                  <c:v>-1.0203304839752625</c:v>
                </c:pt>
                <c:pt idx="15">
                  <c:v>1.3447407972470964</c:v>
                </c:pt>
                <c:pt idx="16">
                  <c:v>0.71059838622062887</c:v>
                </c:pt>
                <c:pt idx="17">
                  <c:v>1.7706498550704941</c:v>
                </c:pt>
                <c:pt idx="18">
                  <c:v>-0.94136638565973652</c:v>
                </c:pt>
                <c:pt idx="19">
                  <c:v>-0.37336401234444783</c:v>
                </c:pt>
                <c:pt idx="20">
                  <c:v>-1.4906796867990124</c:v>
                </c:pt>
                <c:pt idx="21">
                  <c:v>0.41048179343496916</c:v>
                </c:pt>
                <c:pt idx="22">
                  <c:v>-9.6023921349592136</c:v>
                </c:pt>
                <c:pt idx="23">
                  <c:v>-2.3682461091467411</c:v>
                </c:pt>
                <c:pt idx="24">
                  <c:v>1.9742348938750043</c:v>
                </c:pt>
                <c:pt idx="25">
                  <c:v>-6.2895179069804801</c:v>
                </c:pt>
                <c:pt idx="26">
                  <c:v>-13.35195970894455</c:v>
                </c:pt>
                <c:pt idx="27">
                  <c:v>-1.4188761093080191</c:v>
                </c:pt>
                <c:pt idx="28">
                  <c:v>2.4204312506659716E-2</c:v>
                </c:pt>
                <c:pt idx="29">
                  <c:v>-2.6739761170498366</c:v>
                </c:pt>
                <c:pt idx="30">
                  <c:v>2.254595084004718</c:v>
                </c:pt>
                <c:pt idx="31">
                  <c:v>-0.92772037639319294</c:v>
                </c:pt>
              </c:numCache>
            </c:numRef>
          </c:val>
          <c:smooth val="0"/>
          <c:extLst xmlns:c16r2="http://schemas.microsoft.com/office/drawing/2015/06/chart">
            <c:ext xmlns:c16="http://schemas.microsoft.com/office/drawing/2014/chart" uri="{C3380CC4-5D6E-409C-BE32-E72D297353CC}">
              <c16:uniqueId val="{00000003-E830-41EC-91A2-1AC6FC15DBDD}"/>
            </c:ext>
          </c:extLst>
        </c:ser>
        <c:dLbls>
          <c:showLegendKey val="0"/>
          <c:showVal val="0"/>
          <c:showCatName val="0"/>
          <c:showSerName val="0"/>
          <c:showPercent val="0"/>
          <c:showBubbleSize val="0"/>
        </c:dLbls>
        <c:marker val="1"/>
        <c:smooth val="0"/>
        <c:axId val="-1215566624"/>
        <c:axId val="-1215572064"/>
      </c:lineChart>
      <c:catAx>
        <c:axId val="-12155666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1215572064"/>
        <c:crosses val="autoZero"/>
        <c:auto val="1"/>
        <c:lblAlgn val="ctr"/>
        <c:lblOffset val="100"/>
        <c:noMultiLvlLbl val="0"/>
      </c:catAx>
      <c:valAx>
        <c:axId val="-1215572064"/>
        <c:scaling>
          <c:orientation val="minMax"/>
          <c:max val="10"/>
          <c:min val="-15"/>
        </c:scaling>
        <c:delete val="0"/>
        <c:axPos val="l"/>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1215566624"/>
        <c:crosses val="autoZero"/>
        <c:crossBetween val="between"/>
        <c:majorUnit val="5"/>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660033"/>
            </a:solidFill>
            <a:ln w="25400">
              <a:noFill/>
            </a:ln>
          </c:spPr>
          <c:invertIfNegative val="0"/>
          <c:cat>
            <c:strRef>
              <c:f>'Datos acumulados'!$D$20:$D$36</c:f>
              <c:strCache>
                <c:ptCount val="17"/>
                <c:pt idx="0">
                  <c:v>2021-I</c:v>
                </c:pt>
                <c:pt idx="1">
                  <c:v>2021-II</c:v>
                </c:pt>
                <c:pt idx="2">
                  <c:v>2021-III</c:v>
                </c:pt>
                <c:pt idx="3">
                  <c:v>2021-IV</c:v>
                </c:pt>
                <c:pt idx="4">
                  <c:v>2022-I</c:v>
                </c:pt>
                <c:pt idx="5">
                  <c:v>2022-II</c:v>
                </c:pt>
                <c:pt idx="6">
                  <c:v>2022-III</c:v>
                </c:pt>
                <c:pt idx="7">
                  <c:v>2022-IV</c:v>
                </c:pt>
                <c:pt idx="8">
                  <c:v>2023-I</c:v>
                </c:pt>
                <c:pt idx="9">
                  <c:v>2023-II</c:v>
                </c:pt>
                <c:pt idx="10">
                  <c:v>2023-III</c:v>
                </c:pt>
                <c:pt idx="11">
                  <c:v>2023-IV</c:v>
                </c:pt>
                <c:pt idx="12">
                  <c:v>2024-I</c:v>
                </c:pt>
                <c:pt idx="13">
                  <c:v>2024-II</c:v>
                </c:pt>
                <c:pt idx="14">
                  <c:v>2024-III</c:v>
                </c:pt>
                <c:pt idx="15">
                  <c:v>2024-IV</c:v>
                </c:pt>
                <c:pt idx="16">
                  <c:v>2025-I</c:v>
                </c:pt>
              </c:strCache>
            </c:strRef>
          </c:cat>
          <c:val>
            <c:numRef>
              <c:f>'Datos acumulados'!$E$20:$E$36</c:f>
              <c:numCache>
                <c:formatCode>0.0</c:formatCode>
                <c:ptCount val="17"/>
                <c:pt idx="0">
                  <c:v>1040.2830522690372</c:v>
                </c:pt>
                <c:pt idx="1">
                  <c:v>1064.7950501090372</c:v>
                </c:pt>
                <c:pt idx="2">
                  <c:v>1058.0299228090373</c:v>
                </c:pt>
                <c:pt idx="3">
                  <c:v>1033.7284162929009</c:v>
                </c:pt>
                <c:pt idx="4">
                  <c:v>130.10378640460615</c:v>
                </c:pt>
                <c:pt idx="5">
                  <c:v>154.36224405920004</c:v>
                </c:pt>
                <c:pt idx="6">
                  <c:v>146.85727463379163</c:v>
                </c:pt>
                <c:pt idx="7">
                  <c:v>166.85547435426338</c:v>
                </c:pt>
                <c:pt idx="8">
                  <c:v>228.7009970506767</c:v>
                </c:pt>
                <c:pt idx="9">
                  <c:v>205.27615644898489</c:v>
                </c:pt>
                <c:pt idx="10">
                  <c:v>205.36161772191221</c:v>
                </c:pt>
                <c:pt idx="11">
                  <c:v>203.86932168412719</c:v>
                </c:pt>
                <c:pt idx="12">
                  <c:v>174.12454422140598</c:v>
                </c:pt>
                <c:pt idx="13">
                  <c:v>201.24419425374168</c:v>
                </c:pt>
                <c:pt idx="14">
                  <c:v>140.10496093010633</c:v>
                </c:pt>
                <c:pt idx="15">
                  <c:v>110.55715886226361</c:v>
                </c:pt>
                <c:pt idx="16">
                  <c:v>108.54434435543118</c:v>
                </c:pt>
              </c:numCache>
            </c:numRef>
          </c:val>
          <c:extLst xmlns:c16r2="http://schemas.microsoft.com/office/drawing/2015/06/chart">
            <c:ext xmlns:c16="http://schemas.microsoft.com/office/drawing/2014/chart" uri="{C3380CC4-5D6E-409C-BE32-E72D297353CC}">
              <c16:uniqueId val="{00000000-1113-4806-A03A-E4DE563F178B}"/>
            </c:ext>
          </c:extLst>
        </c:ser>
        <c:dLbls>
          <c:showLegendKey val="0"/>
          <c:showVal val="0"/>
          <c:showCatName val="0"/>
          <c:showSerName val="0"/>
          <c:showPercent val="0"/>
          <c:showBubbleSize val="0"/>
        </c:dLbls>
        <c:gapWidth val="219"/>
        <c:overlap val="-27"/>
        <c:axId val="-1215571520"/>
        <c:axId val="-1215568800"/>
      </c:barChart>
      <c:catAx>
        <c:axId val="-1215571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1215568800"/>
        <c:crosses val="autoZero"/>
        <c:auto val="1"/>
        <c:lblAlgn val="ctr"/>
        <c:lblOffset val="100"/>
        <c:noMultiLvlLbl val="0"/>
      </c:catAx>
      <c:valAx>
        <c:axId val="-1215568800"/>
        <c:scaling>
          <c:orientation val="minMax"/>
        </c:scaling>
        <c:delete val="0"/>
        <c:axPos val="l"/>
        <c:numFmt formatCode="0.0" sourceLinked="1"/>
        <c:majorTickMark val="none"/>
        <c:minorTickMark val="none"/>
        <c:tickLblPos val="nextTo"/>
        <c:spPr>
          <a:ln w="635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1215571520"/>
        <c:crosses val="autoZero"/>
        <c:crossBetween val="between"/>
      </c:valAx>
      <c:spPr>
        <a:noFill/>
        <a:ln w="25400">
          <a:noFill/>
        </a:ln>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MX"/>
    </a:p>
  </c:txPr>
  <c:externalData r:id="rId1">
    <c:autoUpdate val="0"/>
  </c:externalData>
</c:chartSpace>
</file>

<file path=word/charts/colors1.xml><?xml version="1.0" encoding="utf-8"?>
<cs:colorStyle xmlns:cs="http://schemas.microsoft.com/office/drawing/2012/chartStyle" xmlns:a="http://schemas.openxmlformats.org/drawingml/2006/main" meth="withinLinear" id="15">
  <a:schemeClr val="accent2"/>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883534-DB3E-4C5A-8524-445D5B3F2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79</Pages>
  <Words>16508</Words>
  <Characters>90797</Characters>
  <Application>Microsoft Office Word</Application>
  <DocSecurity>0</DocSecurity>
  <Lines>756</Lines>
  <Paragraphs>214</Paragraphs>
  <ScaleCrop>false</ScaleCrop>
  <HeadingPairs>
    <vt:vector size="6" baseType="variant">
      <vt:variant>
        <vt:lpstr>Título</vt:lpstr>
      </vt:variant>
      <vt:variant>
        <vt:i4>1</vt:i4>
      </vt:variant>
      <vt:variant>
        <vt:lpstr>Títulos</vt:lpstr>
      </vt:variant>
      <vt:variant>
        <vt:i4>2</vt:i4>
      </vt:variant>
      <vt:variant>
        <vt:lpstr>Title</vt:lpstr>
      </vt:variant>
      <vt:variant>
        <vt:i4>1</vt:i4>
      </vt:variant>
    </vt:vector>
  </HeadingPairs>
  <TitlesOfParts>
    <vt:vector size="4" baseType="lpstr">
      <vt:lpstr/>
      <vt:lpstr>    EXPOSICIÓN DE MOTIVOS</vt:lpstr>
      <vt:lpstr>        </vt:lpstr>
      <vt:lpstr/>
    </vt:vector>
  </TitlesOfParts>
  <Manager/>
  <Company/>
  <LinksUpToDate>false</LinksUpToDate>
  <CharactersWithSpaces>107091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Dirección de Asuntos Jurídicos</cp:lastModifiedBy>
  <cp:revision>6</cp:revision>
  <dcterms:created xsi:type="dcterms:W3CDTF">2025-11-19T17:26:00Z</dcterms:created>
  <dcterms:modified xsi:type="dcterms:W3CDTF">2025-11-20T18:09:00Z</dcterms:modified>
  <cp:category/>
</cp:coreProperties>
</file>